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7FB87C" w14:textId="27D62538" w:rsidR="00964A75" w:rsidRDefault="0024681E" w:rsidP="003F4691">
      <w:pPr>
        <w:autoSpaceDE w:val="0"/>
        <w:autoSpaceDN w:val="0"/>
        <w:adjustRightInd w:val="0"/>
        <w:spacing w:after="0" w:line="240" w:lineRule="auto"/>
        <w:jc w:val="center"/>
        <w:rPr>
          <w:rFonts w:ascii="Corbel" w:hAnsi="Corbel" w:cs="Segoe UI Semilight"/>
          <w:b/>
          <w:sz w:val="52"/>
          <w:szCs w:val="24"/>
        </w:rPr>
      </w:pPr>
      <w:r>
        <w:rPr>
          <w:noProof/>
          <w:lang w:eastAsia="en-GB"/>
        </w:rPr>
        <w:drawing>
          <wp:inline distT="0" distB="0" distL="0" distR="0" wp14:anchorId="5D5EA524" wp14:editId="12F24114">
            <wp:extent cx="2730942" cy="118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30942" cy="1188000"/>
                    </a:xfrm>
                    <a:prstGeom prst="rect">
                      <a:avLst/>
                    </a:prstGeom>
                  </pic:spPr>
                </pic:pic>
              </a:graphicData>
            </a:graphic>
          </wp:inline>
        </w:drawing>
      </w:r>
    </w:p>
    <w:p w14:paraId="691A6ACF" w14:textId="6E05B049" w:rsidR="00F30C29" w:rsidRPr="00B000ED" w:rsidRDefault="007869F7" w:rsidP="00987ED1">
      <w:pPr>
        <w:spacing w:before="120" w:after="120" w:line="240" w:lineRule="auto"/>
        <w:jc w:val="center"/>
        <w:rPr>
          <w:rFonts w:ascii="Corbel" w:hAnsi="Corbel" w:cs="Segoe UI Semilight"/>
          <w:b/>
          <w:sz w:val="36"/>
          <w:szCs w:val="36"/>
        </w:rPr>
      </w:pPr>
      <w:r w:rsidRPr="005E4CA6">
        <w:rPr>
          <w:rFonts w:cs="Aparajita"/>
          <w:b/>
          <w:bCs/>
          <w:color w:val="1F497D" w:themeColor="text2"/>
          <w:sz w:val="32"/>
          <w:szCs w:val="32"/>
          <w:lang w:eastAsia="en-GB"/>
        </w:rPr>
        <w:t>Our Investment P</w:t>
      </w:r>
      <w:r>
        <w:rPr>
          <w:rFonts w:cs="Aparajita"/>
          <w:b/>
          <w:bCs/>
          <w:color w:val="1F497D" w:themeColor="text2"/>
          <w:sz w:val="32"/>
          <w:szCs w:val="32"/>
          <w:lang w:eastAsia="en-GB"/>
        </w:rPr>
        <w:t>hilosophy</w:t>
      </w:r>
    </w:p>
    <w:p w14:paraId="691A6AD1" w14:textId="1DA04FB3" w:rsidR="004B2317" w:rsidRPr="007869F7" w:rsidRDefault="004B2317" w:rsidP="00987ED1">
      <w:pPr>
        <w:autoSpaceDE w:val="0"/>
        <w:autoSpaceDN w:val="0"/>
        <w:adjustRightInd w:val="0"/>
        <w:spacing w:before="120" w:after="120"/>
        <w:jc w:val="both"/>
        <w:rPr>
          <w:rFonts w:cs="Arial"/>
          <w:i/>
        </w:rPr>
      </w:pPr>
      <w:r w:rsidRPr="007869F7">
        <w:rPr>
          <w:rFonts w:cs="Arial"/>
          <w:i/>
        </w:rPr>
        <w:t>This describes our approach to the provision of investment advice. It outlines our bel</w:t>
      </w:r>
      <w:r w:rsidR="00F324CF">
        <w:rPr>
          <w:rFonts w:cs="Arial"/>
          <w:i/>
        </w:rPr>
        <w:t>iefs about investment which forms</w:t>
      </w:r>
      <w:r w:rsidRPr="007869F7">
        <w:rPr>
          <w:rFonts w:cs="Arial"/>
          <w:i/>
        </w:rPr>
        <w:t xml:space="preserve"> the foundation of how we manage your money. </w:t>
      </w:r>
      <w:bookmarkStart w:id="0" w:name="_GoBack"/>
      <w:bookmarkEnd w:id="0"/>
    </w:p>
    <w:p w14:paraId="691A6AD2" w14:textId="5649C74F" w:rsidR="00727959" w:rsidRPr="00987ED1" w:rsidRDefault="007869F7" w:rsidP="00987ED1">
      <w:pPr>
        <w:pStyle w:val="ListParagraph"/>
        <w:spacing w:before="120" w:after="120" w:line="240" w:lineRule="auto"/>
        <w:ind w:left="0"/>
        <w:contextualSpacing w:val="0"/>
        <w:jc w:val="both"/>
        <w:rPr>
          <w:rFonts w:cs="Times New Roman"/>
          <w:b/>
          <w:color w:val="365F91" w:themeColor="accent1" w:themeShade="BF"/>
          <w:sz w:val="24"/>
          <w:szCs w:val="24"/>
        </w:rPr>
      </w:pPr>
      <w:r w:rsidRPr="00987ED1">
        <w:rPr>
          <w:rFonts w:cs="Aparajita"/>
          <w:b/>
          <w:color w:val="365F91" w:themeColor="accent1" w:themeShade="BF"/>
          <w:sz w:val="24"/>
          <w:szCs w:val="24"/>
          <w:lang w:eastAsia="en-GB"/>
        </w:rPr>
        <w:t>Our beliefs No. 1</w:t>
      </w:r>
    </w:p>
    <w:p w14:paraId="1AEB080A" w14:textId="41A22570" w:rsidR="00B63747" w:rsidRPr="007869F7" w:rsidRDefault="000A0194" w:rsidP="00987ED1">
      <w:pPr>
        <w:spacing w:before="120" w:after="120" w:line="240" w:lineRule="auto"/>
        <w:jc w:val="both"/>
        <w:rPr>
          <w:rFonts w:cs="Times New Roman"/>
        </w:rPr>
      </w:pPr>
      <w:r w:rsidRPr="007869F7">
        <w:rPr>
          <w:rFonts w:cs="Times New Roman"/>
          <w:b/>
        </w:rPr>
        <w:t xml:space="preserve">Investors should understand the reasons for investing </w:t>
      </w:r>
      <w:r w:rsidR="00BE3685" w:rsidRPr="007869F7">
        <w:rPr>
          <w:rFonts w:cs="Times New Roman"/>
          <w:b/>
        </w:rPr>
        <w:t>and how</w:t>
      </w:r>
      <w:r w:rsidR="00282FB3" w:rsidRPr="007869F7">
        <w:rPr>
          <w:rFonts w:cs="Times New Roman"/>
          <w:b/>
        </w:rPr>
        <w:t xml:space="preserve"> their portfolio</w:t>
      </w:r>
      <w:r w:rsidR="00BE3685" w:rsidRPr="007869F7">
        <w:rPr>
          <w:rFonts w:cs="Times New Roman"/>
          <w:b/>
        </w:rPr>
        <w:t xml:space="preserve"> is designed to meet their goals</w:t>
      </w:r>
      <w:r w:rsidRPr="007869F7">
        <w:rPr>
          <w:rFonts w:cs="Times New Roman"/>
          <w:b/>
        </w:rPr>
        <w:t>.</w:t>
      </w:r>
      <w:r w:rsidR="007C79B5" w:rsidRPr="007869F7">
        <w:rPr>
          <w:rFonts w:cs="Times New Roman"/>
          <w:b/>
        </w:rPr>
        <w:t xml:space="preserve"> </w:t>
      </w:r>
      <w:r w:rsidRPr="007869F7">
        <w:rPr>
          <w:rFonts w:cs="Times New Roman"/>
        </w:rPr>
        <w:t>The wo</w:t>
      </w:r>
      <w:r w:rsidR="004D62FC" w:rsidRPr="007869F7">
        <w:rPr>
          <w:rFonts w:cs="Times New Roman"/>
        </w:rPr>
        <w:t>rld of investing can be complex and often not transparent.</w:t>
      </w:r>
      <w:r w:rsidR="00773AE2" w:rsidRPr="007869F7">
        <w:rPr>
          <w:rFonts w:cs="Times New Roman"/>
        </w:rPr>
        <w:t xml:space="preserve"> </w:t>
      </w:r>
      <w:r w:rsidRPr="007869F7">
        <w:rPr>
          <w:rFonts w:cs="Times New Roman"/>
        </w:rPr>
        <w:t>We believe in keeping things simple.</w:t>
      </w:r>
      <w:r w:rsidR="00773AE2" w:rsidRPr="007869F7">
        <w:rPr>
          <w:rFonts w:cs="Times New Roman"/>
        </w:rPr>
        <w:t xml:space="preserve"> </w:t>
      </w:r>
      <w:r w:rsidR="00BE3685" w:rsidRPr="007869F7">
        <w:rPr>
          <w:rFonts w:cs="Times New Roman"/>
        </w:rPr>
        <w:t>So while there is a</w:t>
      </w:r>
      <w:r w:rsidRPr="007869F7">
        <w:rPr>
          <w:rFonts w:cs="Times New Roman"/>
        </w:rPr>
        <w:t xml:space="preserve"> lot of science</w:t>
      </w:r>
      <w:r w:rsidR="00BE3685" w:rsidRPr="007869F7">
        <w:rPr>
          <w:rFonts w:cs="Times New Roman"/>
        </w:rPr>
        <w:t xml:space="preserve"> and evidence behind</w:t>
      </w:r>
      <w:r w:rsidRPr="007869F7">
        <w:rPr>
          <w:rFonts w:cs="Times New Roman"/>
        </w:rPr>
        <w:t xml:space="preserve"> our investment </w:t>
      </w:r>
      <w:r w:rsidR="00BE3685" w:rsidRPr="007869F7">
        <w:rPr>
          <w:rFonts w:cs="Times New Roman"/>
        </w:rPr>
        <w:t>philosophy and process</w:t>
      </w:r>
      <w:r w:rsidR="00A07169" w:rsidRPr="007869F7">
        <w:rPr>
          <w:rFonts w:cs="Times New Roman"/>
        </w:rPr>
        <w:t xml:space="preserve">, </w:t>
      </w:r>
      <w:r w:rsidR="00BE3685" w:rsidRPr="007869F7">
        <w:rPr>
          <w:rFonts w:cs="Times New Roman"/>
        </w:rPr>
        <w:t xml:space="preserve">we are keen that </w:t>
      </w:r>
      <w:r w:rsidRPr="007869F7">
        <w:rPr>
          <w:rFonts w:cs="Times New Roman"/>
        </w:rPr>
        <w:t>every client understand</w:t>
      </w:r>
      <w:r w:rsidR="00BE3685" w:rsidRPr="007869F7">
        <w:rPr>
          <w:rFonts w:cs="Times New Roman"/>
        </w:rPr>
        <w:t>s</w:t>
      </w:r>
      <w:r w:rsidR="00773AE2" w:rsidRPr="007869F7">
        <w:rPr>
          <w:rFonts w:cs="Times New Roman"/>
        </w:rPr>
        <w:t xml:space="preserve"> </w:t>
      </w:r>
      <w:r w:rsidR="00BE3685" w:rsidRPr="007869F7">
        <w:rPr>
          <w:rFonts w:cs="Times New Roman"/>
        </w:rPr>
        <w:t xml:space="preserve">our </w:t>
      </w:r>
      <w:r w:rsidRPr="007869F7">
        <w:rPr>
          <w:rFonts w:cs="Times New Roman"/>
        </w:rPr>
        <w:t>recommendations and how</w:t>
      </w:r>
      <w:r w:rsidR="00A07169" w:rsidRPr="007869F7">
        <w:rPr>
          <w:rFonts w:cs="Times New Roman"/>
        </w:rPr>
        <w:t xml:space="preserve"> they</w:t>
      </w:r>
      <w:r w:rsidR="00BE3685" w:rsidRPr="007869F7">
        <w:rPr>
          <w:rFonts w:cs="Times New Roman"/>
        </w:rPr>
        <w:t xml:space="preserve"> fit with </w:t>
      </w:r>
      <w:r w:rsidRPr="007869F7">
        <w:rPr>
          <w:rFonts w:cs="Times New Roman"/>
        </w:rPr>
        <w:t xml:space="preserve">their own financial objectives. </w:t>
      </w:r>
    </w:p>
    <w:p w14:paraId="73F55358" w14:textId="77777777" w:rsidR="0024681E" w:rsidRPr="007869F7" w:rsidRDefault="007C79B5" w:rsidP="00987ED1">
      <w:pPr>
        <w:spacing w:before="120" w:after="120" w:line="240" w:lineRule="auto"/>
        <w:jc w:val="both"/>
        <w:rPr>
          <w:rFonts w:eastAsia="Times New Roman" w:cs="Times New Roman"/>
          <w:lang w:val="nl-NL" w:eastAsia="en-GB"/>
        </w:rPr>
      </w:pPr>
      <w:r w:rsidRPr="007869F7">
        <w:rPr>
          <w:rFonts w:cs="Times New Roman"/>
        </w:rPr>
        <w:t xml:space="preserve">The first step of any investment philosophy is to understand the customer’s needs. We explore this via a </w:t>
      </w:r>
      <w:r w:rsidR="002604C9" w:rsidRPr="007869F7">
        <w:rPr>
          <w:rFonts w:cs="Times New Roman"/>
        </w:rPr>
        <w:t xml:space="preserve">conversation with you </w:t>
      </w:r>
      <w:r w:rsidRPr="007869F7">
        <w:rPr>
          <w:rFonts w:cs="Times New Roman"/>
        </w:rPr>
        <w:t xml:space="preserve">and </w:t>
      </w:r>
      <w:r w:rsidR="002604C9" w:rsidRPr="007869F7">
        <w:rPr>
          <w:rFonts w:cs="Times New Roman"/>
        </w:rPr>
        <w:t xml:space="preserve">look into </w:t>
      </w:r>
      <w:r w:rsidR="002523F7" w:rsidRPr="007869F7">
        <w:rPr>
          <w:rFonts w:cs="Times New Roman"/>
        </w:rPr>
        <w:t>factors such as y</w:t>
      </w:r>
      <w:r w:rsidR="00F83746" w:rsidRPr="007869F7">
        <w:rPr>
          <w:rFonts w:eastAsia="Times New Roman" w:cs="Times New Roman"/>
          <w:lang w:val="nl-NL" w:eastAsia="en-GB"/>
        </w:rPr>
        <w:t xml:space="preserve">our </w:t>
      </w:r>
      <w:r w:rsidR="002523F7" w:rsidRPr="007869F7">
        <w:rPr>
          <w:rFonts w:eastAsia="Times New Roman" w:cs="Times New Roman"/>
          <w:lang w:val="nl-NL" w:eastAsia="en-GB"/>
        </w:rPr>
        <w:t xml:space="preserve">need for capital security, </w:t>
      </w:r>
      <w:r w:rsidRPr="007869F7">
        <w:rPr>
          <w:rFonts w:eastAsia="Times New Roman" w:cs="Times New Roman"/>
          <w:lang w:val="nl-NL" w:eastAsia="en-GB"/>
        </w:rPr>
        <w:t>your</w:t>
      </w:r>
      <w:r w:rsidR="002604C9" w:rsidRPr="007869F7">
        <w:rPr>
          <w:rFonts w:eastAsia="Times New Roman" w:cs="Times New Roman"/>
          <w:lang w:val="nl-NL" w:eastAsia="en-GB"/>
        </w:rPr>
        <w:t xml:space="preserve"> investment time horizon</w:t>
      </w:r>
      <w:r w:rsidR="002523F7" w:rsidRPr="007869F7">
        <w:rPr>
          <w:rFonts w:eastAsia="Times New Roman" w:cs="Times New Roman"/>
          <w:lang w:val="nl-NL" w:eastAsia="en-GB"/>
        </w:rPr>
        <w:t xml:space="preserve"> and your </w:t>
      </w:r>
      <w:r w:rsidR="00BD278C" w:rsidRPr="007869F7">
        <w:rPr>
          <w:rFonts w:eastAsia="Times New Roman" w:cs="Times New Roman"/>
          <w:lang w:val="nl-NL" w:eastAsia="en-GB"/>
        </w:rPr>
        <w:t xml:space="preserve">attitude to risk, risk tolerance and capicity </w:t>
      </w:r>
      <w:r w:rsidR="002523F7" w:rsidRPr="007869F7">
        <w:rPr>
          <w:rFonts w:eastAsia="Times New Roman" w:cs="Times New Roman"/>
          <w:lang w:val="nl-NL" w:eastAsia="en-GB"/>
        </w:rPr>
        <w:t>for loss.</w:t>
      </w:r>
    </w:p>
    <w:p w14:paraId="27470D82" w14:textId="400CE5E9" w:rsidR="0024681E" w:rsidRPr="00987ED1" w:rsidRDefault="007869F7" w:rsidP="00987ED1">
      <w:pPr>
        <w:pStyle w:val="ListParagraph"/>
        <w:spacing w:before="120" w:after="120" w:line="240" w:lineRule="auto"/>
        <w:ind w:left="0"/>
        <w:contextualSpacing w:val="0"/>
        <w:jc w:val="both"/>
        <w:rPr>
          <w:rFonts w:cs="Times New Roman"/>
          <w:b/>
          <w:bCs/>
          <w:color w:val="365F91" w:themeColor="accent1" w:themeShade="BF"/>
          <w:sz w:val="24"/>
          <w:szCs w:val="24"/>
        </w:rPr>
      </w:pPr>
      <w:r w:rsidRPr="00987ED1">
        <w:rPr>
          <w:rFonts w:cs="Aparajita"/>
          <w:b/>
          <w:color w:val="365F91" w:themeColor="accent1" w:themeShade="BF"/>
          <w:sz w:val="24"/>
          <w:szCs w:val="24"/>
          <w:lang w:eastAsia="en-GB"/>
        </w:rPr>
        <w:t>Our beliefs No. 2</w:t>
      </w:r>
    </w:p>
    <w:p w14:paraId="742B0440" w14:textId="77777777" w:rsidR="0024681E" w:rsidRPr="007869F7" w:rsidRDefault="000A0194" w:rsidP="00987ED1">
      <w:pPr>
        <w:spacing w:before="120" w:after="120" w:line="240" w:lineRule="auto"/>
        <w:jc w:val="both"/>
        <w:rPr>
          <w:rFonts w:eastAsia="Times New Roman" w:cs="Times New Roman"/>
          <w:lang w:eastAsia="en-GB"/>
        </w:rPr>
      </w:pPr>
      <w:r w:rsidRPr="007869F7">
        <w:rPr>
          <w:rFonts w:cs="Times New Roman"/>
          <w:b/>
          <w:bCs/>
        </w:rPr>
        <w:t>A conversation about risk and its many dimensions</w:t>
      </w:r>
      <w:r w:rsidR="00727959" w:rsidRPr="007869F7">
        <w:rPr>
          <w:rFonts w:cs="Times New Roman"/>
          <w:b/>
          <w:bCs/>
        </w:rPr>
        <w:t xml:space="preserve"> is the essential first step when investing.</w:t>
      </w:r>
      <w:r w:rsidR="00773AE2" w:rsidRPr="007869F7">
        <w:rPr>
          <w:rFonts w:cs="Times New Roman"/>
          <w:b/>
          <w:bCs/>
        </w:rPr>
        <w:t xml:space="preserve"> </w:t>
      </w:r>
      <w:r w:rsidR="00BE3685" w:rsidRPr="007869F7">
        <w:rPr>
          <w:rFonts w:eastAsia="Times New Roman" w:cs="Times New Roman"/>
          <w:lang w:eastAsia="en-GB"/>
        </w:rPr>
        <w:t>When it comes to investing, risk and reward are inextricably entwined. Don't let anyone tell you otherwise</w:t>
      </w:r>
      <w:r w:rsidR="00F83746" w:rsidRPr="007869F7">
        <w:rPr>
          <w:rFonts w:eastAsia="Times New Roman" w:cs="Times New Roman"/>
          <w:lang w:eastAsia="en-GB"/>
        </w:rPr>
        <w:t>.</w:t>
      </w:r>
      <w:r w:rsidR="00BE3685" w:rsidRPr="007869F7">
        <w:rPr>
          <w:rFonts w:eastAsia="Times New Roman" w:cs="Times New Roman"/>
          <w:lang w:eastAsia="en-GB"/>
        </w:rPr>
        <w:t xml:space="preserve"> All investments involve some degree of risk - it's important that you understand </w:t>
      </w:r>
      <w:r w:rsidR="00F83746" w:rsidRPr="007869F7">
        <w:rPr>
          <w:rFonts w:eastAsia="Times New Roman" w:cs="Times New Roman"/>
          <w:lang w:eastAsia="en-GB"/>
        </w:rPr>
        <w:t xml:space="preserve">this </w:t>
      </w:r>
      <w:r w:rsidR="00BE3685" w:rsidRPr="007869F7">
        <w:rPr>
          <w:rFonts w:eastAsia="Times New Roman" w:cs="Times New Roman"/>
          <w:lang w:eastAsia="en-GB"/>
        </w:rPr>
        <w:t>before you invest.</w:t>
      </w:r>
    </w:p>
    <w:p w14:paraId="691A6AE3" w14:textId="314F133F" w:rsidR="007556C7" w:rsidRPr="007869F7" w:rsidRDefault="00BE3685" w:rsidP="00987ED1">
      <w:pPr>
        <w:spacing w:before="120" w:after="120" w:line="240" w:lineRule="auto"/>
        <w:jc w:val="both"/>
        <w:rPr>
          <w:rFonts w:eastAsia="Times New Roman" w:cs="Times New Roman"/>
          <w:lang w:eastAsia="en-GB"/>
        </w:rPr>
      </w:pPr>
      <w:r w:rsidRPr="007869F7">
        <w:rPr>
          <w:rFonts w:eastAsia="Times New Roman" w:cs="Times New Roman"/>
          <w:lang w:eastAsia="en-GB"/>
        </w:rPr>
        <w:t xml:space="preserve">The reward for taking on risk is the potential for a greater investment return. If you have a financial goal with a long time horizon, you are likely to </w:t>
      </w:r>
      <w:r w:rsidR="00565637" w:rsidRPr="007869F7">
        <w:rPr>
          <w:rFonts w:eastAsia="Times New Roman" w:cs="Times New Roman"/>
          <w:lang w:eastAsia="en-GB"/>
        </w:rPr>
        <w:t>do better</w:t>
      </w:r>
      <w:r w:rsidRPr="007869F7">
        <w:rPr>
          <w:rFonts w:eastAsia="Times New Roman" w:cs="Times New Roman"/>
          <w:lang w:eastAsia="en-GB"/>
        </w:rPr>
        <w:t xml:space="preserve"> by carefully investing in asset cate</w:t>
      </w:r>
      <w:r w:rsidR="00282FB3" w:rsidRPr="007869F7">
        <w:rPr>
          <w:rFonts w:eastAsia="Times New Roman" w:cs="Times New Roman"/>
          <w:lang w:eastAsia="en-GB"/>
        </w:rPr>
        <w:t>gories with greater risk, like equities</w:t>
      </w:r>
      <w:r w:rsidRPr="007869F7">
        <w:rPr>
          <w:rFonts w:eastAsia="Times New Roman" w:cs="Times New Roman"/>
          <w:lang w:eastAsia="en-GB"/>
        </w:rPr>
        <w:t xml:space="preserve">, rather than restricting your investments to assets with less risk, like cash. On the other hand, investing solely in cash investments may be appropriate for short-term financial </w:t>
      </w:r>
      <w:r w:rsidR="007C79B5" w:rsidRPr="007869F7">
        <w:rPr>
          <w:rFonts w:eastAsia="Times New Roman" w:cs="Times New Roman"/>
          <w:lang w:eastAsia="en-GB"/>
        </w:rPr>
        <w:t>goals. To</w:t>
      </w:r>
      <w:r w:rsidRPr="007869F7">
        <w:rPr>
          <w:rFonts w:eastAsia="Times New Roman" w:cs="Times New Roman"/>
          <w:lang w:eastAsia="en-GB"/>
        </w:rPr>
        <w:t xml:space="preserve"> help understand risk we break it down into four elements:</w:t>
      </w:r>
    </w:p>
    <w:p w14:paraId="23551E99" w14:textId="77777777" w:rsidR="002523F7" w:rsidRPr="007869F7" w:rsidRDefault="000A0194" w:rsidP="005176FB">
      <w:pPr>
        <w:pStyle w:val="ListParagraph"/>
        <w:numPr>
          <w:ilvl w:val="0"/>
          <w:numId w:val="6"/>
        </w:numPr>
        <w:spacing w:after="0" w:line="240" w:lineRule="auto"/>
        <w:jc w:val="both"/>
        <w:rPr>
          <w:rFonts w:cs="Times New Roman"/>
          <w:bCs/>
        </w:rPr>
      </w:pPr>
      <w:r w:rsidRPr="007869F7">
        <w:rPr>
          <w:rFonts w:cs="Times New Roman"/>
          <w:b/>
          <w:bCs/>
        </w:rPr>
        <w:t xml:space="preserve">Investment </w:t>
      </w:r>
      <w:r w:rsidR="007C79B5" w:rsidRPr="007869F7">
        <w:rPr>
          <w:rFonts w:cs="Times New Roman"/>
          <w:b/>
          <w:bCs/>
        </w:rPr>
        <w:t>risk.</w:t>
      </w:r>
      <w:r w:rsidR="007C79B5" w:rsidRPr="007869F7">
        <w:rPr>
          <w:rFonts w:cs="Times New Roman"/>
          <w:bCs/>
        </w:rPr>
        <w:t xml:space="preserve"> </w:t>
      </w:r>
    </w:p>
    <w:p w14:paraId="691A6AE5" w14:textId="1383A39C" w:rsidR="000A0194" w:rsidRPr="007869F7" w:rsidRDefault="000A0194" w:rsidP="005176FB">
      <w:pPr>
        <w:pStyle w:val="ListParagraph"/>
        <w:numPr>
          <w:ilvl w:val="0"/>
          <w:numId w:val="6"/>
        </w:numPr>
        <w:spacing w:after="0" w:line="240" w:lineRule="auto"/>
        <w:jc w:val="both"/>
        <w:rPr>
          <w:rFonts w:cs="Times New Roman"/>
          <w:b/>
          <w:bCs/>
        </w:rPr>
      </w:pPr>
      <w:r w:rsidRPr="007869F7">
        <w:rPr>
          <w:rFonts w:cs="Times New Roman"/>
          <w:b/>
          <w:bCs/>
        </w:rPr>
        <w:t>The need for risk</w:t>
      </w:r>
      <w:r w:rsidR="00BE3685" w:rsidRPr="007869F7">
        <w:rPr>
          <w:rFonts w:cs="Times New Roman"/>
          <w:b/>
          <w:bCs/>
        </w:rPr>
        <w:t>.</w:t>
      </w:r>
      <w:r w:rsidR="006F14FC" w:rsidRPr="007869F7">
        <w:rPr>
          <w:rFonts w:cs="Times New Roman"/>
          <w:b/>
          <w:bCs/>
        </w:rPr>
        <w:t xml:space="preserve"> </w:t>
      </w:r>
    </w:p>
    <w:p w14:paraId="691A6AE8" w14:textId="62D5F11D" w:rsidR="000A0194" w:rsidRPr="007869F7" w:rsidRDefault="000A0194" w:rsidP="005176FB">
      <w:pPr>
        <w:pStyle w:val="ListParagraph"/>
        <w:numPr>
          <w:ilvl w:val="0"/>
          <w:numId w:val="6"/>
        </w:numPr>
        <w:autoSpaceDE w:val="0"/>
        <w:autoSpaceDN w:val="0"/>
        <w:adjustRightInd w:val="0"/>
        <w:spacing w:after="0" w:line="240" w:lineRule="auto"/>
        <w:jc w:val="both"/>
        <w:rPr>
          <w:rFonts w:cs="Times New Roman"/>
          <w:b/>
          <w:bCs/>
        </w:rPr>
      </w:pPr>
      <w:r w:rsidRPr="007869F7">
        <w:rPr>
          <w:rFonts w:cs="Times New Roman"/>
          <w:b/>
          <w:bCs/>
        </w:rPr>
        <w:t>Your attitude to risk</w:t>
      </w:r>
      <w:r w:rsidR="00BE3685" w:rsidRPr="007869F7">
        <w:rPr>
          <w:rFonts w:cs="Times New Roman"/>
          <w:b/>
          <w:bCs/>
        </w:rPr>
        <w:t>.</w:t>
      </w:r>
      <w:r w:rsidR="006F14FC" w:rsidRPr="007869F7">
        <w:rPr>
          <w:rFonts w:cs="Times New Roman"/>
          <w:b/>
          <w:bCs/>
        </w:rPr>
        <w:t xml:space="preserve"> </w:t>
      </w:r>
    </w:p>
    <w:p w14:paraId="691A6AEB" w14:textId="1CA730C4" w:rsidR="00CC5715" w:rsidRPr="007869F7" w:rsidRDefault="000A0194" w:rsidP="005176FB">
      <w:pPr>
        <w:pStyle w:val="ListParagraph"/>
        <w:numPr>
          <w:ilvl w:val="0"/>
          <w:numId w:val="6"/>
        </w:numPr>
        <w:autoSpaceDE w:val="0"/>
        <w:autoSpaceDN w:val="0"/>
        <w:adjustRightInd w:val="0"/>
        <w:spacing w:after="0" w:line="240" w:lineRule="auto"/>
        <w:jc w:val="both"/>
        <w:rPr>
          <w:rFonts w:cs="Times New Roman"/>
        </w:rPr>
      </w:pPr>
      <w:r w:rsidRPr="007869F7">
        <w:rPr>
          <w:rFonts w:cs="Times New Roman"/>
          <w:b/>
          <w:bCs/>
        </w:rPr>
        <w:t>Your ability to tolerate risk</w:t>
      </w:r>
      <w:r w:rsidR="006267A5" w:rsidRPr="007869F7">
        <w:rPr>
          <w:rFonts w:cs="Times New Roman"/>
          <w:b/>
          <w:bCs/>
        </w:rPr>
        <w:t xml:space="preserve"> / accommodate losses</w:t>
      </w:r>
      <w:r w:rsidR="002604C9" w:rsidRPr="007869F7">
        <w:rPr>
          <w:rFonts w:cs="Times New Roman"/>
          <w:b/>
          <w:bCs/>
        </w:rPr>
        <w:t>.</w:t>
      </w:r>
      <w:r w:rsidR="006F14FC" w:rsidRPr="007869F7">
        <w:rPr>
          <w:rFonts w:cs="Times New Roman"/>
          <w:b/>
          <w:bCs/>
        </w:rPr>
        <w:t xml:space="preserve"> </w:t>
      </w:r>
    </w:p>
    <w:p w14:paraId="691A6AED" w14:textId="77777777" w:rsidR="002604C9" w:rsidRPr="007869F7" w:rsidRDefault="00CC5715" w:rsidP="0028591D">
      <w:pPr>
        <w:autoSpaceDE w:val="0"/>
        <w:autoSpaceDN w:val="0"/>
        <w:adjustRightInd w:val="0"/>
        <w:spacing w:before="120" w:after="120" w:line="240" w:lineRule="auto"/>
        <w:jc w:val="both"/>
        <w:rPr>
          <w:rFonts w:cs="Times New Roman"/>
          <w:sz w:val="24"/>
          <w:szCs w:val="24"/>
        </w:rPr>
      </w:pPr>
      <w:r w:rsidRPr="007869F7">
        <w:rPr>
          <w:rFonts w:cs="Times New Roman"/>
          <w:bCs/>
        </w:rPr>
        <w:t>Your ability to tolerate risk is very different to you</w:t>
      </w:r>
      <w:r w:rsidR="006F14FC" w:rsidRPr="007869F7">
        <w:rPr>
          <w:rFonts w:cs="Times New Roman"/>
          <w:bCs/>
        </w:rPr>
        <w:t>r</w:t>
      </w:r>
      <w:r w:rsidRPr="007869F7">
        <w:rPr>
          <w:rFonts w:cs="Times New Roman"/>
          <w:bCs/>
        </w:rPr>
        <w:t xml:space="preserve"> attitude to risk – understanding this is </w:t>
      </w:r>
      <w:r w:rsidR="00C75DE3" w:rsidRPr="007869F7">
        <w:rPr>
          <w:rFonts w:cs="Times New Roman"/>
          <w:bCs/>
        </w:rPr>
        <w:t>a</w:t>
      </w:r>
      <w:r w:rsidR="006F14FC" w:rsidRPr="007869F7">
        <w:rPr>
          <w:rFonts w:cs="Times New Roman"/>
          <w:bCs/>
        </w:rPr>
        <w:t xml:space="preserve"> </w:t>
      </w:r>
      <w:r w:rsidRPr="007869F7">
        <w:rPr>
          <w:rFonts w:cs="Times New Roman"/>
          <w:bCs/>
        </w:rPr>
        <w:t>key part of our investment process.</w:t>
      </w:r>
      <w:r w:rsidR="006F14FC" w:rsidRPr="007869F7">
        <w:rPr>
          <w:rFonts w:cs="Times New Roman"/>
          <w:bCs/>
        </w:rPr>
        <w:t xml:space="preserve"> </w:t>
      </w:r>
      <w:r w:rsidR="00CB792C" w:rsidRPr="007869F7">
        <w:rPr>
          <w:rFonts w:cs="Times New Roman"/>
        </w:rPr>
        <w:t xml:space="preserve">A </w:t>
      </w:r>
      <w:r w:rsidR="002604C9" w:rsidRPr="007869F7">
        <w:rPr>
          <w:rFonts w:cs="Times New Roman"/>
        </w:rPr>
        <w:t xml:space="preserve">conversation </w:t>
      </w:r>
      <w:r w:rsidR="00CB792C" w:rsidRPr="007869F7">
        <w:rPr>
          <w:rFonts w:cs="Times New Roman"/>
        </w:rPr>
        <w:t xml:space="preserve">with you </w:t>
      </w:r>
      <w:r w:rsidR="002604C9" w:rsidRPr="007869F7">
        <w:rPr>
          <w:rFonts w:cs="Times New Roman"/>
        </w:rPr>
        <w:t>will help inform decisions about the level of investment risk that needs to be taken</w:t>
      </w:r>
      <w:r w:rsidR="00CB792C" w:rsidRPr="007869F7">
        <w:rPr>
          <w:rFonts w:cs="Times New Roman"/>
        </w:rPr>
        <w:t xml:space="preserve"> and </w:t>
      </w:r>
      <w:r w:rsidR="00F03D2C" w:rsidRPr="007869F7">
        <w:rPr>
          <w:rFonts w:cs="Times New Roman"/>
        </w:rPr>
        <w:t>that you can</w:t>
      </w:r>
      <w:r w:rsidR="00F03D2C" w:rsidRPr="007869F7">
        <w:rPr>
          <w:rFonts w:cs="Times New Roman"/>
          <w:sz w:val="24"/>
          <w:szCs w:val="24"/>
        </w:rPr>
        <w:t xml:space="preserve"> a</w:t>
      </w:r>
      <w:r w:rsidR="00CB792C" w:rsidRPr="007869F7">
        <w:rPr>
          <w:rFonts w:cs="Times New Roman"/>
          <w:sz w:val="24"/>
          <w:szCs w:val="24"/>
        </w:rPr>
        <w:t>fford to take</w:t>
      </w:r>
      <w:r w:rsidR="002604C9" w:rsidRPr="007869F7">
        <w:rPr>
          <w:rFonts w:cs="Times New Roman"/>
          <w:sz w:val="24"/>
          <w:szCs w:val="24"/>
        </w:rPr>
        <w:t>, rather than simply the maximum amount</w:t>
      </w:r>
      <w:r w:rsidR="00F03D2C" w:rsidRPr="007869F7">
        <w:rPr>
          <w:rFonts w:cs="Times New Roman"/>
          <w:sz w:val="24"/>
          <w:szCs w:val="24"/>
        </w:rPr>
        <w:t xml:space="preserve"> of risk</w:t>
      </w:r>
      <w:r w:rsidR="002604C9" w:rsidRPr="007869F7">
        <w:rPr>
          <w:rFonts w:cs="Times New Roman"/>
          <w:sz w:val="24"/>
          <w:szCs w:val="24"/>
        </w:rPr>
        <w:t xml:space="preserve"> that</w:t>
      </w:r>
      <w:r w:rsidR="00CB792C" w:rsidRPr="007869F7">
        <w:rPr>
          <w:rFonts w:cs="Times New Roman"/>
          <w:sz w:val="24"/>
          <w:szCs w:val="24"/>
        </w:rPr>
        <w:t xml:space="preserve"> you feel happy with.</w:t>
      </w:r>
    </w:p>
    <w:p w14:paraId="691A6AF1" w14:textId="5118F1DA" w:rsidR="00727959" w:rsidRPr="00987ED1" w:rsidRDefault="007869F7" w:rsidP="0028591D">
      <w:pPr>
        <w:pStyle w:val="ListParagraph"/>
        <w:spacing w:before="120" w:after="120" w:line="240" w:lineRule="auto"/>
        <w:ind w:left="0"/>
        <w:contextualSpacing w:val="0"/>
        <w:jc w:val="both"/>
        <w:rPr>
          <w:rFonts w:cs="Times New Roman"/>
          <w:b/>
          <w:bCs/>
          <w:color w:val="365F91" w:themeColor="accent1" w:themeShade="BF"/>
          <w:sz w:val="24"/>
          <w:szCs w:val="24"/>
        </w:rPr>
      </w:pPr>
      <w:r w:rsidRPr="00987ED1">
        <w:rPr>
          <w:rFonts w:cs="Aparajita"/>
          <w:b/>
          <w:color w:val="365F91" w:themeColor="accent1" w:themeShade="BF"/>
          <w:sz w:val="24"/>
          <w:szCs w:val="24"/>
          <w:lang w:eastAsia="en-GB"/>
        </w:rPr>
        <w:t>Our beliefs No. 3</w:t>
      </w:r>
    </w:p>
    <w:p w14:paraId="3C9E4085" w14:textId="77777777" w:rsidR="00B63747" w:rsidRPr="007869F7" w:rsidRDefault="000A0194" w:rsidP="0028591D">
      <w:pPr>
        <w:spacing w:before="120" w:after="120" w:line="240" w:lineRule="auto"/>
        <w:jc w:val="both"/>
        <w:rPr>
          <w:rFonts w:eastAsia="Times New Roman" w:cs="Times New Roman"/>
        </w:rPr>
      </w:pPr>
      <w:r w:rsidRPr="007869F7">
        <w:rPr>
          <w:rFonts w:cs="Times New Roman"/>
          <w:b/>
        </w:rPr>
        <w:t>Invest</w:t>
      </w:r>
      <w:r w:rsidR="00727959" w:rsidRPr="007869F7">
        <w:rPr>
          <w:rFonts w:cs="Times New Roman"/>
          <w:b/>
        </w:rPr>
        <w:t>ing for the long term is very different than saving for the short ter</w:t>
      </w:r>
      <w:r w:rsidR="00C75DE3" w:rsidRPr="007869F7">
        <w:rPr>
          <w:rFonts w:cs="Times New Roman"/>
          <w:b/>
        </w:rPr>
        <w:t>m</w:t>
      </w:r>
      <w:r w:rsidR="00727959" w:rsidRPr="007869F7">
        <w:rPr>
          <w:rFonts w:cs="Times New Roman"/>
          <w:b/>
        </w:rPr>
        <w:t>.</w:t>
      </w:r>
      <w:r w:rsidR="006F14FC" w:rsidRPr="007869F7">
        <w:rPr>
          <w:rFonts w:cs="Times New Roman"/>
          <w:b/>
        </w:rPr>
        <w:t xml:space="preserve"> </w:t>
      </w:r>
      <w:r w:rsidR="00C25446" w:rsidRPr="007869F7">
        <w:rPr>
          <w:rFonts w:eastAsia="Times New Roman" w:cs="Times New Roman"/>
        </w:rPr>
        <w:t>While there is an understandable desire to keep things safe when investing</w:t>
      </w:r>
      <w:r w:rsidR="001706DB" w:rsidRPr="007869F7">
        <w:rPr>
          <w:rFonts w:eastAsia="Times New Roman" w:cs="Times New Roman"/>
        </w:rPr>
        <w:t>,</w:t>
      </w:r>
      <w:r w:rsidR="00C25446" w:rsidRPr="007869F7">
        <w:rPr>
          <w:rFonts w:eastAsia="Times New Roman" w:cs="Times New Roman"/>
        </w:rPr>
        <w:t xml:space="preserve"> the</w:t>
      </w:r>
      <w:r w:rsidR="006735E0" w:rsidRPr="007869F7">
        <w:rPr>
          <w:rFonts w:eastAsia="Times New Roman" w:cs="Times New Roman"/>
        </w:rPr>
        <w:t xml:space="preserve"> corrosive </w:t>
      </w:r>
      <w:r w:rsidR="00C25446" w:rsidRPr="007869F7">
        <w:rPr>
          <w:rFonts w:eastAsia="Times New Roman" w:cs="Times New Roman"/>
        </w:rPr>
        <w:t>impact of inflation</w:t>
      </w:r>
      <w:r w:rsidR="006735E0" w:rsidRPr="007869F7">
        <w:rPr>
          <w:rFonts w:eastAsia="Times New Roman" w:cs="Times New Roman"/>
        </w:rPr>
        <w:t xml:space="preserve"> and thus the</w:t>
      </w:r>
      <w:r w:rsidR="00C11FDB" w:rsidRPr="007869F7">
        <w:rPr>
          <w:rFonts w:eastAsia="Times New Roman" w:cs="Times New Roman"/>
        </w:rPr>
        <w:t xml:space="preserve"> value of investing for the lo</w:t>
      </w:r>
      <w:r w:rsidR="0042620B" w:rsidRPr="007869F7">
        <w:rPr>
          <w:rFonts w:eastAsia="Times New Roman" w:cs="Times New Roman"/>
        </w:rPr>
        <w:t xml:space="preserve">ng term in more risky assets </w:t>
      </w:r>
      <w:proofErr w:type="gramStart"/>
      <w:r w:rsidR="0042620B" w:rsidRPr="007869F7">
        <w:rPr>
          <w:rFonts w:eastAsia="Times New Roman" w:cs="Times New Roman"/>
        </w:rPr>
        <w:t>is</w:t>
      </w:r>
      <w:proofErr w:type="gramEnd"/>
      <w:r w:rsidR="00C11FDB" w:rsidRPr="007869F7">
        <w:rPr>
          <w:rFonts w:eastAsia="Times New Roman" w:cs="Times New Roman"/>
        </w:rPr>
        <w:t xml:space="preserve"> compelling.</w:t>
      </w:r>
    </w:p>
    <w:p w14:paraId="6779942C" w14:textId="2F9BE3DE" w:rsidR="002523F7" w:rsidRPr="007869F7" w:rsidRDefault="00C11FDB" w:rsidP="0028591D">
      <w:pPr>
        <w:spacing w:before="120" w:after="120" w:line="240" w:lineRule="auto"/>
        <w:jc w:val="both"/>
        <w:rPr>
          <w:rFonts w:eastAsia="Times New Roman" w:cs="Times New Roman"/>
        </w:rPr>
      </w:pPr>
      <w:r w:rsidRPr="007869F7">
        <w:rPr>
          <w:rFonts w:eastAsia="Times New Roman" w:cs="Times New Roman"/>
        </w:rPr>
        <w:t xml:space="preserve">Real </w:t>
      </w:r>
      <w:r w:rsidR="00C25446" w:rsidRPr="007869F7">
        <w:rPr>
          <w:rFonts w:eastAsia="Times New Roman" w:cs="Times New Roman"/>
        </w:rPr>
        <w:t xml:space="preserve">assets such as equities, property and commodities </w:t>
      </w:r>
      <w:r w:rsidR="00F03D2C" w:rsidRPr="007869F7">
        <w:rPr>
          <w:rFonts w:eastAsia="Times New Roman" w:cs="Times New Roman"/>
        </w:rPr>
        <w:t xml:space="preserve">tend to </w:t>
      </w:r>
      <w:r w:rsidR="00C25446" w:rsidRPr="007869F7">
        <w:rPr>
          <w:rFonts w:eastAsia="Times New Roman" w:cs="Times New Roman"/>
        </w:rPr>
        <w:t xml:space="preserve">make </w:t>
      </w:r>
      <w:r w:rsidR="00282FB3" w:rsidRPr="007869F7">
        <w:rPr>
          <w:rFonts w:eastAsia="Times New Roman" w:cs="Times New Roman"/>
        </w:rPr>
        <w:t>a better investment</w:t>
      </w:r>
      <w:r w:rsidR="00C25446" w:rsidRPr="007869F7">
        <w:rPr>
          <w:rFonts w:eastAsia="Times New Roman" w:cs="Times New Roman"/>
        </w:rPr>
        <w:t xml:space="preserve"> than the apparent</w:t>
      </w:r>
      <w:r w:rsidRPr="007869F7">
        <w:rPr>
          <w:rFonts w:eastAsia="Times New Roman" w:cs="Times New Roman"/>
        </w:rPr>
        <w:t>ly safe</w:t>
      </w:r>
      <w:r w:rsidR="002E2638" w:rsidRPr="007869F7">
        <w:rPr>
          <w:rFonts w:eastAsia="Times New Roman" w:cs="Times New Roman"/>
        </w:rPr>
        <w:t>r</w:t>
      </w:r>
      <w:r w:rsidRPr="007869F7">
        <w:rPr>
          <w:rFonts w:eastAsia="Times New Roman" w:cs="Times New Roman"/>
        </w:rPr>
        <w:t xml:space="preserve"> option o</w:t>
      </w:r>
      <w:r w:rsidR="00F03D2C" w:rsidRPr="007869F7">
        <w:rPr>
          <w:rFonts w:eastAsia="Times New Roman" w:cs="Times New Roman"/>
        </w:rPr>
        <w:t>f cash deposits in the long run, but it isn’t that simple.</w:t>
      </w:r>
      <w:r w:rsidR="002523F7" w:rsidRPr="007869F7">
        <w:rPr>
          <w:rFonts w:eastAsia="Times New Roman" w:cs="Times New Roman"/>
        </w:rPr>
        <w:t xml:space="preserve"> </w:t>
      </w:r>
      <w:r w:rsidR="006735E0" w:rsidRPr="007869F7">
        <w:rPr>
          <w:rFonts w:eastAsia="Times New Roman" w:cs="Times New Roman"/>
        </w:rPr>
        <w:t>In the last 5</w:t>
      </w:r>
      <w:r w:rsidR="00F03D2C" w:rsidRPr="007869F7">
        <w:rPr>
          <w:rFonts w:eastAsia="Times New Roman" w:cs="Times New Roman"/>
        </w:rPr>
        <w:t>0 years</w:t>
      </w:r>
      <w:r w:rsidR="006735E0" w:rsidRPr="007869F7">
        <w:rPr>
          <w:rFonts w:eastAsia="Times New Roman" w:cs="Times New Roman"/>
        </w:rPr>
        <w:t xml:space="preserve"> Equities have outperformed Gilts. </w:t>
      </w:r>
    </w:p>
    <w:p w14:paraId="5B3919EC" w14:textId="6F36688E" w:rsidR="0024681E" w:rsidRPr="007869F7" w:rsidRDefault="00987ED1" w:rsidP="00987ED1">
      <w:pPr>
        <w:spacing w:after="0" w:line="240" w:lineRule="auto"/>
        <w:jc w:val="both"/>
        <w:rPr>
          <w:rFonts w:eastAsia="Times New Roman" w:cs="Times New Roman"/>
          <w:b/>
          <w:sz w:val="24"/>
          <w:szCs w:val="24"/>
        </w:rPr>
      </w:pPr>
      <w:r>
        <w:rPr>
          <w:rFonts w:eastAsia="Times New Roman" w:cs="Times New Roman"/>
          <w:b/>
        </w:rPr>
        <w:lastRenderedPageBreak/>
        <w:t xml:space="preserve">Table 1: </w:t>
      </w:r>
      <w:r w:rsidR="00C25446" w:rsidRPr="007869F7">
        <w:rPr>
          <w:rFonts w:eastAsia="Times New Roman" w:cs="Times New Roman"/>
          <w:b/>
        </w:rPr>
        <w:t xml:space="preserve">Real </w:t>
      </w:r>
      <w:r w:rsidR="005176FB" w:rsidRPr="007869F7">
        <w:rPr>
          <w:rFonts w:eastAsia="Times New Roman" w:cs="Times New Roman"/>
          <w:b/>
        </w:rPr>
        <w:t xml:space="preserve">% per annum </w:t>
      </w:r>
      <w:r w:rsidR="00C25446" w:rsidRPr="007869F7">
        <w:rPr>
          <w:rFonts w:eastAsia="Times New Roman" w:cs="Times New Roman"/>
          <w:b/>
        </w:rPr>
        <w:t xml:space="preserve">returns (after inflation) over </w:t>
      </w:r>
      <w:r w:rsidR="002A7060" w:rsidRPr="007869F7">
        <w:rPr>
          <w:rFonts w:eastAsia="Times New Roman" w:cs="Times New Roman"/>
          <w:b/>
        </w:rPr>
        <w:t>50</w:t>
      </w:r>
      <w:r w:rsidR="00C25446" w:rsidRPr="007869F7">
        <w:rPr>
          <w:rFonts w:eastAsia="Times New Roman" w:cs="Times New Roman"/>
          <w:b/>
        </w:rPr>
        <w:t xml:space="preserve"> </w:t>
      </w:r>
      <w:r w:rsidR="005176FB" w:rsidRPr="007869F7">
        <w:rPr>
          <w:rFonts w:eastAsia="Times New Roman" w:cs="Times New Roman"/>
          <w:b/>
        </w:rPr>
        <w:t>year’s</w:t>
      </w:r>
      <w:r w:rsidR="00C25446" w:rsidRPr="007869F7">
        <w:rPr>
          <w:rFonts w:eastAsia="Times New Roman" w:cs="Times New Roman"/>
          <w:b/>
        </w:rPr>
        <w:t>.</w:t>
      </w:r>
    </w:p>
    <w:tbl>
      <w:tblPr>
        <w:tblStyle w:val="ListTable4Accent1"/>
        <w:tblW w:w="0" w:type="auto"/>
        <w:jc w:val="center"/>
        <w:tblLook w:val="04A0" w:firstRow="1" w:lastRow="0" w:firstColumn="1" w:lastColumn="0" w:noHBand="0" w:noVBand="1"/>
      </w:tblPr>
      <w:tblGrid>
        <w:gridCol w:w="4485"/>
        <w:gridCol w:w="4485"/>
      </w:tblGrid>
      <w:tr w:rsidR="00D46A74" w:rsidRPr="007869F7" w14:paraId="691A6AFB" w14:textId="77777777" w:rsidTr="00DE2E1C">
        <w:trPr>
          <w:cnfStyle w:val="100000000000" w:firstRow="1" w:lastRow="0" w:firstColumn="0" w:lastColumn="0" w:oddVBand="0" w:evenVBand="0" w:oddHBand="0"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485" w:type="dxa"/>
          </w:tcPr>
          <w:p w14:paraId="691A6AF9" w14:textId="77777777" w:rsidR="00C25446" w:rsidRPr="007869F7" w:rsidRDefault="00C25446" w:rsidP="005176FB">
            <w:pPr>
              <w:jc w:val="both"/>
              <w:rPr>
                <w:rFonts w:eastAsia="Times New Roman" w:cs="Times New Roman"/>
                <w:b w:val="0"/>
                <w:bCs w:val="0"/>
                <w:sz w:val="24"/>
                <w:szCs w:val="24"/>
              </w:rPr>
            </w:pPr>
            <w:r w:rsidRPr="007869F7">
              <w:rPr>
                <w:rFonts w:eastAsia="Times New Roman" w:cs="Times New Roman"/>
                <w:sz w:val="24"/>
                <w:szCs w:val="24"/>
              </w:rPr>
              <w:t>Asset class</w:t>
            </w:r>
          </w:p>
        </w:tc>
        <w:tc>
          <w:tcPr>
            <w:tcW w:w="4485" w:type="dxa"/>
          </w:tcPr>
          <w:p w14:paraId="691A6AFA" w14:textId="49FE133C" w:rsidR="00C25446" w:rsidRPr="007869F7" w:rsidRDefault="00C25446" w:rsidP="005176FB">
            <w:pPr>
              <w:jc w:val="both"/>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sz w:val="24"/>
                <w:szCs w:val="24"/>
              </w:rPr>
            </w:pPr>
            <w:r w:rsidRPr="007869F7">
              <w:rPr>
                <w:rFonts w:eastAsia="Times New Roman" w:cs="Times New Roman"/>
                <w:sz w:val="24"/>
                <w:szCs w:val="24"/>
              </w:rPr>
              <w:t>Return</w:t>
            </w:r>
            <w:r w:rsidR="00DE2E1C">
              <w:rPr>
                <w:rFonts w:eastAsia="Times New Roman" w:cs="Times New Roman"/>
                <w:sz w:val="24"/>
                <w:szCs w:val="24"/>
              </w:rPr>
              <w:t>s</w:t>
            </w:r>
          </w:p>
        </w:tc>
      </w:tr>
      <w:tr w:rsidR="00D46A74" w:rsidRPr="007869F7" w14:paraId="691A6AFE" w14:textId="77777777" w:rsidTr="00DE2E1C">
        <w:trPr>
          <w:cnfStyle w:val="000000100000" w:firstRow="0" w:lastRow="0" w:firstColumn="0" w:lastColumn="0" w:oddVBand="0" w:evenVBand="0" w:oddHBand="1" w:evenHBand="0" w:firstRowFirstColumn="0" w:firstRowLastColumn="0" w:lastRowFirstColumn="0" w:lastRowLastColumn="0"/>
          <w:trHeight w:val="289"/>
          <w:jc w:val="center"/>
        </w:trPr>
        <w:tc>
          <w:tcPr>
            <w:cnfStyle w:val="001000000000" w:firstRow="0" w:lastRow="0" w:firstColumn="1" w:lastColumn="0" w:oddVBand="0" w:evenVBand="0" w:oddHBand="0" w:evenHBand="0" w:firstRowFirstColumn="0" w:firstRowLastColumn="0" w:lastRowFirstColumn="0" w:lastRowLastColumn="0"/>
            <w:tcW w:w="4485" w:type="dxa"/>
            <w:shd w:val="clear" w:color="auto" w:fill="C6D9F1" w:themeFill="text2" w:themeFillTint="33"/>
          </w:tcPr>
          <w:p w14:paraId="691A6AFC" w14:textId="77777777" w:rsidR="00C25446" w:rsidRPr="007869F7" w:rsidRDefault="00C25446" w:rsidP="005176FB">
            <w:pPr>
              <w:jc w:val="both"/>
              <w:rPr>
                <w:rFonts w:eastAsia="Times New Roman" w:cs="Times New Roman"/>
                <w:b w:val="0"/>
                <w:bCs w:val="0"/>
                <w:sz w:val="24"/>
                <w:szCs w:val="24"/>
              </w:rPr>
            </w:pPr>
            <w:r w:rsidRPr="007869F7">
              <w:rPr>
                <w:rFonts w:eastAsia="Times New Roman" w:cs="Times New Roman"/>
                <w:sz w:val="24"/>
                <w:szCs w:val="24"/>
              </w:rPr>
              <w:t>UK Equities</w:t>
            </w:r>
          </w:p>
        </w:tc>
        <w:tc>
          <w:tcPr>
            <w:tcW w:w="4485" w:type="dxa"/>
            <w:shd w:val="clear" w:color="auto" w:fill="C6D9F1" w:themeFill="text2" w:themeFillTint="33"/>
          </w:tcPr>
          <w:p w14:paraId="691A6AFD" w14:textId="77777777" w:rsidR="00C25446" w:rsidRPr="007869F7" w:rsidRDefault="002A7060" w:rsidP="005176FB">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 w:val="24"/>
                <w:szCs w:val="24"/>
              </w:rPr>
            </w:pPr>
            <w:r w:rsidRPr="007869F7">
              <w:rPr>
                <w:rFonts w:eastAsia="Times New Roman" w:cs="Times New Roman"/>
                <w:b/>
                <w:sz w:val="24"/>
                <w:szCs w:val="24"/>
              </w:rPr>
              <w:t>5.5</w:t>
            </w:r>
          </w:p>
        </w:tc>
      </w:tr>
      <w:tr w:rsidR="00D46A74" w:rsidRPr="007869F7" w14:paraId="691A6B01" w14:textId="77777777" w:rsidTr="00DE2E1C">
        <w:trPr>
          <w:trHeight w:val="289"/>
          <w:jc w:val="center"/>
        </w:trPr>
        <w:tc>
          <w:tcPr>
            <w:cnfStyle w:val="001000000000" w:firstRow="0" w:lastRow="0" w:firstColumn="1" w:lastColumn="0" w:oddVBand="0" w:evenVBand="0" w:oddHBand="0" w:evenHBand="0" w:firstRowFirstColumn="0" w:firstRowLastColumn="0" w:lastRowFirstColumn="0" w:lastRowLastColumn="0"/>
            <w:tcW w:w="4485" w:type="dxa"/>
          </w:tcPr>
          <w:p w14:paraId="691A6AFF" w14:textId="77777777" w:rsidR="00C25446" w:rsidRPr="007869F7" w:rsidRDefault="00C25446" w:rsidP="005176FB">
            <w:pPr>
              <w:jc w:val="both"/>
              <w:rPr>
                <w:rFonts w:eastAsia="Times New Roman" w:cs="Times New Roman"/>
                <w:b w:val="0"/>
                <w:bCs w:val="0"/>
                <w:sz w:val="24"/>
                <w:szCs w:val="24"/>
              </w:rPr>
            </w:pPr>
            <w:r w:rsidRPr="007869F7">
              <w:rPr>
                <w:rFonts w:eastAsia="Times New Roman" w:cs="Times New Roman"/>
                <w:sz w:val="24"/>
                <w:szCs w:val="24"/>
              </w:rPr>
              <w:t>Gilts</w:t>
            </w:r>
          </w:p>
        </w:tc>
        <w:tc>
          <w:tcPr>
            <w:tcW w:w="4485" w:type="dxa"/>
          </w:tcPr>
          <w:p w14:paraId="691A6B00" w14:textId="77777777" w:rsidR="00C25446" w:rsidRPr="007869F7" w:rsidRDefault="002A7060" w:rsidP="005176FB">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b/>
                <w:sz w:val="24"/>
                <w:szCs w:val="24"/>
              </w:rPr>
            </w:pPr>
            <w:r w:rsidRPr="007869F7">
              <w:rPr>
                <w:rFonts w:eastAsia="Times New Roman" w:cs="Times New Roman"/>
                <w:b/>
                <w:sz w:val="24"/>
                <w:szCs w:val="24"/>
              </w:rPr>
              <w:t>2.7</w:t>
            </w:r>
          </w:p>
        </w:tc>
      </w:tr>
      <w:tr w:rsidR="00D46A74" w:rsidRPr="007869F7" w14:paraId="691A6B04" w14:textId="77777777" w:rsidTr="00DE2E1C">
        <w:trPr>
          <w:cnfStyle w:val="000000100000" w:firstRow="0" w:lastRow="0" w:firstColumn="0" w:lastColumn="0" w:oddVBand="0" w:evenVBand="0" w:oddHBand="1" w:evenHBand="0" w:firstRowFirstColumn="0" w:firstRowLastColumn="0" w:lastRowFirstColumn="0" w:lastRowLastColumn="0"/>
          <w:trHeight w:val="304"/>
          <w:jc w:val="center"/>
        </w:trPr>
        <w:tc>
          <w:tcPr>
            <w:cnfStyle w:val="001000000000" w:firstRow="0" w:lastRow="0" w:firstColumn="1" w:lastColumn="0" w:oddVBand="0" w:evenVBand="0" w:oddHBand="0" w:evenHBand="0" w:firstRowFirstColumn="0" w:firstRowLastColumn="0" w:lastRowFirstColumn="0" w:lastRowLastColumn="0"/>
            <w:tcW w:w="4485" w:type="dxa"/>
            <w:shd w:val="clear" w:color="auto" w:fill="C6D9F1" w:themeFill="text2" w:themeFillTint="33"/>
          </w:tcPr>
          <w:p w14:paraId="691A6B02" w14:textId="77777777" w:rsidR="00C25446" w:rsidRPr="007869F7" w:rsidRDefault="00C25446" w:rsidP="005176FB">
            <w:pPr>
              <w:jc w:val="both"/>
              <w:rPr>
                <w:rFonts w:eastAsia="Times New Roman" w:cs="Times New Roman"/>
                <w:b w:val="0"/>
                <w:bCs w:val="0"/>
                <w:sz w:val="24"/>
                <w:szCs w:val="24"/>
              </w:rPr>
            </w:pPr>
            <w:r w:rsidRPr="007869F7">
              <w:rPr>
                <w:rFonts w:eastAsia="Times New Roman" w:cs="Times New Roman"/>
                <w:sz w:val="24"/>
                <w:szCs w:val="24"/>
              </w:rPr>
              <w:t>Cash</w:t>
            </w:r>
          </w:p>
        </w:tc>
        <w:tc>
          <w:tcPr>
            <w:tcW w:w="4485" w:type="dxa"/>
            <w:shd w:val="clear" w:color="auto" w:fill="C6D9F1" w:themeFill="text2" w:themeFillTint="33"/>
          </w:tcPr>
          <w:p w14:paraId="691A6B03" w14:textId="77777777" w:rsidR="00C25446" w:rsidRPr="007869F7" w:rsidRDefault="002A7060" w:rsidP="005176FB">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b/>
                <w:sz w:val="24"/>
                <w:szCs w:val="24"/>
              </w:rPr>
            </w:pPr>
            <w:r w:rsidRPr="007869F7">
              <w:rPr>
                <w:rFonts w:eastAsia="Times New Roman" w:cs="Times New Roman"/>
                <w:b/>
                <w:sz w:val="24"/>
                <w:szCs w:val="24"/>
              </w:rPr>
              <w:t>1</w:t>
            </w:r>
            <w:r w:rsidR="00C25446" w:rsidRPr="007869F7">
              <w:rPr>
                <w:rFonts w:eastAsia="Times New Roman" w:cs="Times New Roman"/>
                <w:b/>
                <w:sz w:val="24"/>
                <w:szCs w:val="24"/>
              </w:rPr>
              <w:t>.6</w:t>
            </w:r>
          </w:p>
        </w:tc>
      </w:tr>
    </w:tbl>
    <w:p w14:paraId="691A6B05" w14:textId="77777777" w:rsidR="00C25446" w:rsidRPr="007869F7" w:rsidRDefault="006A1E7E" w:rsidP="005176FB">
      <w:pPr>
        <w:spacing w:after="0" w:line="240" w:lineRule="auto"/>
        <w:jc w:val="both"/>
        <w:rPr>
          <w:rFonts w:eastAsia="Times New Roman" w:cs="Times New Roman"/>
          <w:i/>
          <w:sz w:val="20"/>
          <w:szCs w:val="20"/>
        </w:rPr>
      </w:pPr>
      <w:r w:rsidRPr="007869F7">
        <w:rPr>
          <w:rFonts w:eastAsia="Times New Roman" w:cs="Times New Roman"/>
          <w:i/>
          <w:sz w:val="20"/>
          <w:szCs w:val="20"/>
        </w:rPr>
        <w:t>Source</w:t>
      </w:r>
      <w:r w:rsidR="00C25446" w:rsidRPr="007869F7">
        <w:rPr>
          <w:rFonts w:eastAsia="Times New Roman" w:cs="Times New Roman"/>
          <w:i/>
          <w:sz w:val="20"/>
          <w:szCs w:val="20"/>
        </w:rPr>
        <w:t xml:space="preserve">: Barclays </w:t>
      </w:r>
      <w:r w:rsidR="002A7060" w:rsidRPr="007869F7">
        <w:rPr>
          <w:rFonts w:eastAsia="Times New Roman" w:cs="Times New Roman"/>
          <w:i/>
          <w:sz w:val="20"/>
          <w:szCs w:val="20"/>
        </w:rPr>
        <w:t>Research 2013</w:t>
      </w:r>
    </w:p>
    <w:p w14:paraId="691A6B08" w14:textId="3250B069" w:rsidR="00282FB3" w:rsidRPr="007869F7" w:rsidRDefault="00282FB3" w:rsidP="0028591D">
      <w:pPr>
        <w:spacing w:before="120" w:after="120" w:line="240" w:lineRule="auto"/>
        <w:jc w:val="both"/>
        <w:rPr>
          <w:rFonts w:eastAsia="Times New Roman" w:cs="Times New Roman"/>
        </w:rPr>
      </w:pPr>
      <w:r w:rsidRPr="007869F7">
        <w:rPr>
          <w:rFonts w:eastAsia="Times New Roman" w:cs="Times New Roman"/>
        </w:rPr>
        <w:t xml:space="preserve">But it isn’t the case over every time period – for example over the twelve most recent 10 year periods going back to 1902 (1902 – 1912, 1912 – 1922 etc.) – Equity returns were better than Gilts eight times, whereas Gilts beat Equities four times. </w:t>
      </w:r>
    </w:p>
    <w:p w14:paraId="691A6B09" w14:textId="77777777" w:rsidR="000A0194" w:rsidRPr="007869F7" w:rsidRDefault="00C11FDB" w:rsidP="0028591D">
      <w:pPr>
        <w:spacing w:before="120" w:after="120" w:line="240" w:lineRule="auto"/>
        <w:jc w:val="both"/>
        <w:rPr>
          <w:rFonts w:cs="Times New Roman"/>
        </w:rPr>
      </w:pPr>
      <w:r w:rsidRPr="007869F7">
        <w:rPr>
          <w:rFonts w:cs="Times New Roman"/>
        </w:rPr>
        <w:t xml:space="preserve">Our view is that </w:t>
      </w:r>
      <w:r w:rsidR="000A0194" w:rsidRPr="007869F7">
        <w:rPr>
          <w:rFonts w:cs="Times New Roman"/>
        </w:rPr>
        <w:t>basing investment decisions on the longer term historic behaviour of asset classes enables investors to participate in market growth.</w:t>
      </w:r>
      <w:r w:rsidR="00F03D2C" w:rsidRPr="007869F7">
        <w:rPr>
          <w:rFonts w:cs="Times New Roman"/>
        </w:rPr>
        <w:t xml:space="preserve"> But that regular review is critical.</w:t>
      </w:r>
    </w:p>
    <w:p w14:paraId="45030BF7" w14:textId="7DFF1479" w:rsidR="007869F7" w:rsidRPr="00987ED1" w:rsidRDefault="007869F7" w:rsidP="0028591D">
      <w:pPr>
        <w:pStyle w:val="ListParagraph"/>
        <w:spacing w:before="120" w:after="120" w:line="240" w:lineRule="auto"/>
        <w:ind w:left="0"/>
        <w:contextualSpacing w:val="0"/>
        <w:jc w:val="both"/>
        <w:rPr>
          <w:rFonts w:cs="Times New Roman"/>
          <w:b/>
          <w:color w:val="365F91" w:themeColor="accent1" w:themeShade="BF"/>
          <w:sz w:val="24"/>
          <w:szCs w:val="24"/>
        </w:rPr>
      </w:pPr>
      <w:r w:rsidRPr="00987ED1">
        <w:rPr>
          <w:rFonts w:cs="Aparajita"/>
          <w:b/>
          <w:color w:val="365F91" w:themeColor="accent1" w:themeShade="BF"/>
          <w:sz w:val="24"/>
          <w:szCs w:val="24"/>
          <w:lang w:eastAsia="en-GB"/>
        </w:rPr>
        <w:t>Our beliefs No. 4</w:t>
      </w:r>
    </w:p>
    <w:p w14:paraId="691A6B10" w14:textId="7BD6E939" w:rsidR="005374EF" w:rsidRPr="007869F7" w:rsidRDefault="000A0194" w:rsidP="0028591D">
      <w:pPr>
        <w:autoSpaceDE w:val="0"/>
        <w:autoSpaceDN w:val="0"/>
        <w:adjustRightInd w:val="0"/>
        <w:spacing w:before="120" w:after="120" w:line="240" w:lineRule="auto"/>
        <w:jc w:val="both"/>
        <w:rPr>
          <w:rFonts w:cs="Times New Roman"/>
        </w:rPr>
      </w:pPr>
      <w:r w:rsidRPr="007869F7">
        <w:rPr>
          <w:rFonts w:cs="Times New Roman"/>
          <w:b/>
          <w:bCs/>
        </w:rPr>
        <w:t>The bulk of long-term returns come from asset allocation.</w:t>
      </w:r>
      <w:r w:rsidR="006F14FC" w:rsidRPr="007869F7">
        <w:rPr>
          <w:rFonts w:cs="Times New Roman"/>
          <w:b/>
          <w:bCs/>
        </w:rPr>
        <w:t xml:space="preserve"> </w:t>
      </w:r>
      <w:r w:rsidRPr="007869F7">
        <w:rPr>
          <w:rFonts w:cs="Times New Roman"/>
        </w:rPr>
        <w:t>Academics will continue to argue about the precise amount of value that comes from strategic asset allocation rather than stock selection, investment style or market timing, but it is widely accepted that asset allocation has the biggest influence over th</w:t>
      </w:r>
      <w:r w:rsidR="002523F7" w:rsidRPr="007869F7">
        <w:rPr>
          <w:rFonts w:cs="Times New Roman"/>
        </w:rPr>
        <w:t>e variance in portfolio returns.</w:t>
      </w:r>
    </w:p>
    <w:p w14:paraId="691A6B12" w14:textId="77777777" w:rsidR="00727959" w:rsidRPr="007869F7" w:rsidRDefault="00727959" w:rsidP="0028591D">
      <w:pPr>
        <w:autoSpaceDE w:val="0"/>
        <w:autoSpaceDN w:val="0"/>
        <w:adjustRightInd w:val="0"/>
        <w:spacing w:before="120" w:after="120" w:line="240" w:lineRule="auto"/>
        <w:jc w:val="both"/>
        <w:rPr>
          <w:rFonts w:cs="Times New Roman"/>
        </w:rPr>
      </w:pPr>
      <w:r w:rsidRPr="007869F7">
        <w:rPr>
          <w:rFonts w:cs="Times New Roman"/>
        </w:rPr>
        <w:t xml:space="preserve">It’s like making a cake. The most important part is making sure you have the right amount of flour, eggs, butter </w:t>
      </w:r>
      <w:r w:rsidR="00C75DE3" w:rsidRPr="007869F7">
        <w:rPr>
          <w:rFonts w:cs="Times New Roman"/>
        </w:rPr>
        <w:t>etc</w:t>
      </w:r>
      <w:r w:rsidR="00F03D2C" w:rsidRPr="007869F7">
        <w:rPr>
          <w:rFonts w:cs="Times New Roman"/>
        </w:rPr>
        <w:t xml:space="preserve">. </w:t>
      </w:r>
      <w:r w:rsidRPr="007869F7">
        <w:rPr>
          <w:rFonts w:cs="Times New Roman"/>
        </w:rPr>
        <w:t>rather than worrying whether the ingredients come from Harrods or the corner shop.</w:t>
      </w:r>
    </w:p>
    <w:p w14:paraId="691A6B15" w14:textId="2A012844" w:rsidR="00727959" w:rsidRPr="00987ED1" w:rsidRDefault="007869F7" w:rsidP="0028591D">
      <w:pPr>
        <w:pStyle w:val="ListParagraph"/>
        <w:spacing w:before="120" w:after="120" w:line="240" w:lineRule="auto"/>
        <w:ind w:left="0"/>
        <w:contextualSpacing w:val="0"/>
        <w:jc w:val="both"/>
        <w:rPr>
          <w:rFonts w:cs="Times New Roman"/>
          <w:b/>
          <w:bCs/>
          <w:color w:val="365F91" w:themeColor="accent1" w:themeShade="BF"/>
          <w:sz w:val="24"/>
          <w:szCs w:val="24"/>
        </w:rPr>
      </w:pPr>
      <w:r w:rsidRPr="00987ED1">
        <w:rPr>
          <w:rFonts w:cs="Aparajita"/>
          <w:b/>
          <w:color w:val="365F91" w:themeColor="accent1" w:themeShade="BF"/>
          <w:sz w:val="24"/>
          <w:szCs w:val="24"/>
          <w:lang w:eastAsia="en-GB"/>
        </w:rPr>
        <w:t>Our beliefs No. 5</w:t>
      </w:r>
    </w:p>
    <w:p w14:paraId="691A6B19" w14:textId="78B38F4E" w:rsidR="006200B9" w:rsidRPr="007869F7" w:rsidRDefault="00E73773" w:rsidP="0028591D">
      <w:pPr>
        <w:autoSpaceDE w:val="0"/>
        <w:autoSpaceDN w:val="0"/>
        <w:adjustRightInd w:val="0"/>
        <w:spacing w:before="120" w:after="120" w:line="240" w:lineRule="auto"/>
        <w:jc w:val="both"/>
        <w:rPr>
          <w:rFonts w:eastAsia="Times New Roman" w:cs="Times New Roman"/>
          <w:lang w:eastAsia="en-GB"/>
        </w:rPr>
      </w:pPr>
      <w:r>
        <w:rPr>
          <w:rFonts w:cs="Times New Roman"/>
          <w:b/>
          <w:bCs/>
        </w:rPr>
        <w:t xml:space="preserve">Diversification </w:t>
      </w:r>
      <w:r w:rsidR="00584D29" w:rsidRPr="007869F7">
        <w:rPr>
          <w:rFonts w:cs="Times New Roman"/>
          <w:b/>
          <w:bCs/>
        </w:rPr>
        <w:t>using mainstream asset classes can reduce risk without destroying</w:t>
      </w:r>
      <w:r w:rsidR="006A1E7E" w:rsidRPr="007869F7">
        <w:rPr>
          <w:rFonts w:cs="Times New Roman"/>
          <w:b/>
          <w:bCs/>
        </w:rPr>
        <w:t xml:space="preserve"> returns.</w:t>
      </w:r>
      <w:r w:rsidR="006A1E7E" w:rsidRPr="007869F7">
        <w:rPr>
          <w:rFonts w:eastAsia="Times New Roman" w:cs="Times New Roman"/>
          <w:lang w:eastAsia="en-GB"/>
        </w:rPr>
        <w:t xml:space="preserve"> Diversification</w:t>
      </w:r>
      <w:r w:rsidR="00D46A74" w:rsidRPr="007869F7">
        <w:rPr>
          <w:rFonts w:eastAsia="Times New Roman" w:cs="Times New Roman"/>
          <w:lang w:eastAsia="en-GB"/>
        </w:rPr>
        <w:t xml:space="preserve"> is a strategy that can be neatly summed up by the timeless adage "Don't put all your eggs in one basket." The strategy involves spreading your money among various investments </w:t>
      </w:r>
      <w:r w:rsidR="00855DEF" w:rsidRPr="007869F7">
        <w:rPr>
          <w:rFonts w:eastAsia="Times New Roman" w:cs="Times New Roman"/>
          <w:lang w:eastAsia="en-GB"/>
        </w:rPr>
        <w:t>with the intention</w:t>
      </w:r>
      <w:r w:rsidR="00D46A74" w:rsidRPr="007869F7">
        <w:rPr>
          <w:rFonts w:eastAsia="Times New Roman" w:cs="Times New Roman"/>
          <w:lang w:eastAsia="en-GB"/>
        </w:rPr>
        <w:t xml:space="preserve"> that if one investment loses money, the other investments </w:t>
      </w:r>
      <w:r w:rsidR="00855DEF" w:rsidRPr="007869F7">
        <w:rPr>
          <w:rFonts w:eastAsia="Times New Roman" w:cs="Times New Roman"/>
          <w:lang w:eastAsia="en-GB"/>
        </w:rPr>
        <w:t>may</w:t>
      </w:r>
      <w:r w:rsidR="00D46A74" w:rsidRPr="007869F7">
        <w:rPr>
          <w:rFonts w:eastAsia="Times New Roman" w:cs="Times New Roman"/>
          <w:lang w:eastAsia="en-GB"/>
        </w:rPr>
        <w:t xml:space="preserve"> more than make up for those losses.</w:t>
      </w:r>
    </w:p>
    <w:p w14:paraId="51DF44A1" w14:textId="77777777" w:rsidR="007869F7" w:rsidRPr="00987ED1" w:rsidRDefault="007869F7" w:rsidP="0028591D">
      <w:pPr>
        <w:pStyle w:val="ListParagraph"/>
        <w:spacing w:before="120" w:after="120" w:line="240" w:lineRule="auto"/>
        <w:ind w:left="0"/>
        <w:contextualSpacing w:val="0"/>
        <w:jc w:val="both"/>
        <w:rPr>
          <w:rFonts w:cs="Aparajita"/>
          <w:b/>
          <w:color w:val="365F91" w:themeColor="accent1" w:themeShade="BF"/>
          <w:sz w:val="24"/>
          <w:szCs w:val="24"/>
          <w:lang w:eastAsia="en-GB"/>
        </w:rPr>
      </w:pPr>
      <w:r w:rsidRPr="00987ED1">
        <w:rPr>
          <w:rFonts w:cs="Aparajita"/>
          <w:b/>
          <w:color w:val="365F91" w:themeColor="accent1" w:themeShade="BF"/>
          <w:sz w:val="24"/>
          <w:szCs w:val="24"/>
          <w:lang w:eastAsia="en-GB"/>
        </w:rPr>
        <w:t>Our beliefs No. 6</w:t>
      </w:r>
    </w:p>
    <w:p w14:paraId="2E57D923" w14:textId="4CAE7B0E" w:rsidR="00DE2E1C" w:rsidRDefault="00727959" w:rsidP="0028591D">
      <w:pPr>
        <w:pStyle w:val="ListParagraph"/>
        <w:spacing w:before="120" w:after="120" w:line="240" w:lineRule="auto"/>
        <w:ind w:left="0"/>
        <w:contextualSpacing w:val="0"/>
        <w:jc w:val="both"/>
      </w:pPr>
      <w:r w:rsidRPr="007869F7">
        <w:rPr>
          <w:rFonts w:cs="Times New Roman"/>
          <w:b/>
        </w:rPr>
        <w:t>Costs are certain and returns are not – so they deserve your attention.</w:t>
      </w:r>
      <w:r w:rsidR="00E73773">
        <w:rPr>
          <w:rFonts w:cs="Times New Roman"/>
          <w:b/>
        </w:rPr>
        <w:t xml:space="preserve"> </w:t>
      </w:r>
      <w:r w:rsidR="00603CE0" w:rsidRPr="007869F7">
        <w:t>Costs are certain and fund performance is not. It therefore makes sense to reduce costs wherever it is safe to do so.</w:t>
      </w:r>
      <w:r w:rsidR="00DF4345" w:rsidRPr="007869F7">
        <w:t xml:space="preserve"> </w:t>
      </w:r>
      <w:r w:rsidR="00603CE0" w:rsidRPr="007869F7">
        <w:t>One of the major issues in fund management is that not all the costs are transparent.</w:t>
      </w:r>
      <w:r w:rsidR="002523F7" w:rsidRPr="007869F7">
        <w:t xml:space="preserve"> </w:t>
      </w:r>
      <w:r w:rsidR="00603CE0" w:rsidRPr="007869F7">
        <w:t>Even though TERs are not the whole co</w:t>
      </w:r>
      <w:r w:rsidR="00A03B2C" w:rsidRPr="007869F7">
        <w:t xml:space="preserve">st of running a fund, they are </w:t>
      </w:r>
      <w:r w:rsidR="00603CE0" w:rsidRPr="007869F7">
        <w:t xml:space="preserve">a powerful predictor </w:t>
      </w:r>
      <w:r w:rsidR="009779CC" w:rsidRPr="007869F7">
        <w:t>of fund</w:t>
      </w:r>
      <w:r w:rsidR="00603CE0" w:rsidRPr="007869F7">
        <w:t xml:space="preserve"> </w:t>
      </w:r>
      <w:r w:rsidR="009779CC" w:rsidRPr="007869F7">
        <w:t>returns.</w:t>
      </w:r>
      <w:r w:rsidR="002523F7" w:rsidRPr="007869F7">
        <w:t xml:space="preserve"> </w:t>
      </w:r>
      <w:r w:rsidR="00603CE0" w:rsidRPr="007869F7">
        <w:t xml:space="preserve">Morningstar (a large </w:t>
      </w:r>
      <w:r w:rsidR="00855DEF" w:rsidRPr="007869F7">
        <w:t xml:space="preserve">global </w:t>
      </w:r>
      <w:r w:rsidR="00603CE0" w:rsidRPr="007869F7">
        <w:t>fund ratings agency)</w:t>
      </w:r>
      <w:r w:rsidR="00DF4345" w:rsidRPr="007869F7">
        <w:t xml:space="preserve"> </w:t>
      </w:r>
      <w:r w:rsidR="000E5E98" w:rsidRPr="007869F7">
        <w:t>c</w:t>
      </w:r>
      <w:r w:rsidR="00603CE0" w:rsidRPr="007869F7">
        <w:t xml:space="preserve">onducted analysis in August 2010 to identify the best historic predictors of performance. </w:t>
      </w:r>
    </w:p>
    <w:p w14:paraId="691A6B26" w14:textId="7B31E250" w:rsidR="00603CE0" w:rsidRPr="007869F7" w:rsidRDefault="00603CE0" w:rsidP="0028591D">
      <w:pPr>
        <w:pStyle w:val="NormalWeb"/>
        <w:spacing w:before="120" w:after="120" w:line="240" w:lineRule="auto"/>
        <w:jc w:val="both"/>
        <w:rPr>
          <w:rFonts w:asciiTheme="minorHAnsi" w:hAnsiTheme="minorHAnsi"/>
          <w:sz w:val="22"/>
          <w:szCs w:val="22"/>
        </w:rPr>
      </w:pPr>
      <w:r w:rsidRPr="007869F7">
        <w:rPr>
          <w:rFonts w:asciiTheme="minorHAnsi" w:hAnsiTheme="minorHAnsi"/>
          <w:sz w:val="22"/>
          <w:szCs w:val="22"/>
        </w:rPr>
        <w:t>The results are remarkably clear:</w:t>
      </w:r>
    </w:p>
    <w:p w14:paraId="691A6B28" w14:textId="515A2A21" w:rsidR="00603CE0" w:rsidRPr="007869F7" w:rsidRDefault="000E5E98" w:rsidP="0028591D">
      <w:pPr>
        <w:pStyle w:val="NormalWeb"/>
        <w:spacing w:before="120" w:after="120" w:line="240" w:lineRule="auto"/>
        <w:ind w:left="360"/>
        <w:jc w:val="both"/>
        <w:rPr>
          <w:rFonts w:asciiTheme="minorHAnsi" w:hAnsiTheme="minorHAnsi"/>
          <w:b/>
          <w:bCs/>
          <w:color w:val="365F91" w:themeColor="accent1" w:themeShade="BF"/>
          <w:sz w:val="22"/>
          <w:szCs w:val="22"/>
        </w:rPr>
      </w:pPr>
      <w:r w:rsidRPr="007869F7">
        <w:rPr>
          <w:rFonts w:asciiTheme="minorHAnsi" w:hAnsiTheme="minorHAnsi"/>
          <w:b/>
          <w:color w:val="365F91" w:themeColor="accent1" w:themeShade="BF"/>
          <w:sz w:val="22"/>
          <w:szCs w:val="22"/>
        </w:rPr>
        <w:t>“</w:t>
      </w:r>
      <w:r w:rsidR="00603CE0" w:rsidRPr="007869F7">
        <w:rPr>
          <w:rFonts w:asciiTheme="minorHAnsi" w:hAnsiTheme="minorHAnsi"/>
          <w:b/>
          <w:color w:val="365F91" w:themeColor="accent1" w:themeShade="BF"/>
          <w:sz w:val="22"/>
          <w:szCs w:val="22"/>
        </w:rPr>
        <w:t xml:space="preserve">If there is anything in the whole world of mutual funds that you can take to the bank, it’s that </w:t>
      </w:r>
      <w:r w:rsidR="00603CE0" w:rsidRPr="007869F7">
        <w:rPr>
          <w:rFonts w:asciiTheme="minorHAnsi" w:hAnsiTheme="minorHAnsi"/>
          <w:b/>
          <w:bCs/>
          <w:color w:val="365F91" w:themeColor="accent1" w:themeShade="BF"/>
          <w:sz w:val="22"/>
          <w:szCs w:val="22"/>
        </w:rPr>
        <w:t>expense ratios help you make a better decision</w:t>
      </w:r>
      <w:r w:rsidR="002523F7" w:rsidRPr="007869F7">
        <w:rPr>
          <w:rFonts w:asciiTheme="minorHAnsi" w:hAnsiTheme="minorHAnsi"/>
          <w:b/>
          <w:bCs/>
          <w:color w:val="365F91" w:themeColor="accent1" w:themeShade="BF"/>
          <w:sz w:val="22"/>
          <w:szCs w:val="22"/>
        </w:rPr>
        <w:t>”</w:t>
      </w:r>
    </w:p>
    <w:p w14:paraId="691A6B2D" w14:textId="572FCB07" w:rsidR="009779CC" w:rsidRPr="007869F7" w:rsidRDefault="006735E0" w:rsidP="0028591D">
      <w:pPr>
        <w:spacing w:before="120" w:after="120" w:line="240" w:lineRule="auto"/>
        <w:jc w:val="both"/>
        <w:rPr>
          <w:rFonts w:cs="Times New Roman"/>
        </w:rPr>
      </w:pPr>
      <w:r w:rsidRPr="007869F7">
        <w:rPr>
          <w:rFonts w:cs="Times New Roman"/>
        </w:rPr>
        <w:t xml:space="preserve">Understanding and seeking to reduce </w:t>
      </w:r>
      <w:r w:rsidR="00603CE0" w:rsidRPr="007869F7">
        <w:rPr>
          <w:rFonts w:cs="Times New Roman"/>
        </w:rPr>
        <w:t>costs</w:t>
      </w:r>
      <w:r w:rsidR="002E2638" w:rsidRPr="007869F7">
        <w:rPr>
          <w:rFonts w:cs="Times New Roman"/>
        </w:rPr>
        <w:t xml:space="preserve"> where safe to do so</w:t>
      </w:r>
      <w:r w:rsidR="00603CE0" w:rsidRPr="007869F7">
        <w:rPr>
          <w:rFonts w:cs="Times New Roman"/>
        </w:rPr>
        <w:t xml:space="preserve"> is a key part of our investment process.</w:t>
      </w:r>
    </w:p>
    <w:p w14:paraId="4FF3695E" w14:textId="435793C2" w:rsidR="007869F7" w:rsidRPr="00987ED1" w:rsidRDefault="007869F7" w:rsidP="0028591D">
      <w:pPr>
        <w:pStyle w:val="ListParagraph"/>
        <w:spacing w:before="120" w:after="120" w:line="240" w:lineRule="auto"/>
        <w:ind w:left="0"/>
        <w:contextualSpacing w:val="0"/>
        <w:jc w:val="both"/>
        <w:rPr>
          <w:rFonts w:cs="Times New Roman"/>
          <w:b/>
          <w:color w:val="365F91" w:themeColor="accent1" w:themeShade="BF"/>
          <w:sz w:val="24"/>
          <w:szCs w:val="24"/>
        </w:rPr>
      </w:pPr>
      <w:r w:rsidRPr="00987ED1">
        <w:rPr>
          <w:rFonts w:cs="Aparajita"/>
          <w:b/>
          <w:color w:val="365F91" w:themeColor="accent1" w:themeShade="BF"/>
          <w:sz w:val="24"/>
          <w:szCs w:val="24"/>
          <w:lang w:eastAsia="en-GB"/>
        </w:rPr>
        <w:t>Our beliefs No. 7</w:t>
      </w:r>
    </w:p>
    <w:p w14:paraId="691A6B30" w14:textId="66C1DB7A" w:rsidR="006200B9" w:rsidRPr="007869F7" w:rsidRDefault="006200B9" w:rsidP="0028591D">
      <w:pPr>
        <w:spacing w:before="120" w:after="120" w:line="240" w:lineRule="auto"/>
        <w:jc w:val="both"/>
        <w:rPr>
          <w:rFonts w:cs="Times New Roman"/>
        </w:rPr>
      </w:pPr>
      <w:r w:rsidRPr="007869F7">
        <w:rPr>
          <w:rFonts w:cs="Times New Roman"/>
          <w:b/>
        </w:rPr>
        <w:t>Tax and access are important</w:t>
      </w:r>
      <w:r w:rsidR="00E73773">
        <w:rPr>
          <w:rFonts w:cs="Times New Roman"/>
          <w:b/>
        </w:rPr>
        <w:t xml:space="preserve">. </w:t>
      </w:r>
      <w:r w:rsidRPr="007869F7">
        <w:rPr>
          <w:rFonts w:cs="Times New Roman"/>
        </w:rPr>
        <w:t>Making investment tax efficient is a sensible objective and wherever we can we will try to reduce the tax your investments will pay. Use of pension wrappers and ISAs will assist in this objective.</w:t>
      </w:r>
    </w:p>
    <w:p w14:paraId="691A6B32" w14:textId="7F22B710" w:rsidR="006200B9" w:rsidRPr="007869F7" w:rsidRDefault="006200B9" w:rsidP="0028591D">
      <w:pPr>
        <w:spacing w:before="120" w:after="120" w:line="240" w:lineRule="auto"/>
        <w:jc w:val="both"/>
        <w:rPr>
          <w:rFonts w:cs="Times New Roman"/>
        </w:rPr>
      </w:pPr>
      <w:r w:rsidRPr="007869F7">
        <w:rPr>
          <w:rFonts w:cs="Times New Roman"/>
        </w:rPr>
        <w:t xml:space="preserve">We </w:t>
      </w:r>
      <w:r w:rsidR="002523F7" w:rsidRPr="007869F7">
        <w:rPr>
          <w:rFonts w:cs="Times New Roman"/>
        </w:rPr>
        <w:t xml:space="preserve">may </w:t>
      </w:r>
      <w:r w:rsidRPr="007869F7">
        <w:rPr>
          <w:rFonts w:cs="Times New Roman"/>
        </w:rPr>
        <w:t>also use new technology platforms</w:t>
      </w:r>
      <w:r w:rsidR="00A03B2C" w:rsidRPr="007869F7">
        <w:rPr>
          <w:rFonts w:cs="Times New Roman"/>
        </w:rPr>
        <w:t>,</w:t>
      </w:r>
      <w:r w:rsidRPr="007869F7">
        <w:rPr>
          <w:rFonts w:cs="Times New Roman"/>
        </w:rPr>
        <w:t xml:space="preserve"> known as wraps or fund supermarkets</w:t>
      </w:r>
      <w:r w:rsidR="00A03B2C" w:rsidRPr="007869F7">
        <w:rPr>
          <w:rFonts w:cs="Times New Roman"/>
        </w:rPr>
        <w:t>,</w:t>
      </w:r>
      <w:r w:rsidRPr="007869F7">
        <w:rPr>
          <w:rFonts w:cs="Times New Roman"/>
        </w:rPr>
        <w:t xml:space="preserve"> to hold your investments</w:t>
      </w:r>
      <w:r w:rsidR="000E6708" w:rsidRPr="007869F7">
        <w:rPr>
          <w:rFonts w:cs="Times New Roman"/>
        </w:rPr>
        <w:t xml:space="preserve">. These offer safety, access to your valuations (so you can see how your investments are </w:t>
      </w:r>
      <w:r w:rsidR="000E6708" w:rsidRPr="007869F7">
        <w:rPr>
          <w:rFonts w:cs="Times New Roman"/>
        </w:rPr>
        <w:lastRenderedPageBreak/>
        <w:t>doing)</w:t>
      </w:r>
      <w:r w:rsidR="00A03B2C" w:rsidRPr="007869F7">
        <w:rPr>
          <w:rFonts w:cs="Times New Roman"/>
        </w:rPr>
        <w:t xml:space="preserve"> and</w:t>
      </w:r>
      <w:r w:rsidR="000E6708" w:rsidRPr="007869F7">
        <w:rPr>
          <w:rFonts w:cs="Times New Roman"/>
        </w:rPr>
        <w:t xml:space="preserve"> tax wrappers (pensions and ISAs for example). They also allow us to move your money between funds cost effectively if we need to in future.</w:t>
      </w:r>
    </w:p>
    <w:p w14:paraId="11CC4994" w14:textId="6771FEAF" w:rsidR="007869F7" w:rsidRPr="00987ED1" w:rsidRDefault="007869F7" w:rsidP="0028591D">
      <w:pPr>
        <w:pStyle w:val="ListParagraph"/>
        <w:spacing w:before="120" w:after="120" w:line="240" w:lineRule="auto"/>
        <w:ind w:left="0"/>
        <w:contextualSpacing w:val="0"/>
        <w:jc w:val="both"/>
        <w:rPr>
          <w:rFonts w:cs="Times New Roman"/>
          <w:b/>
          <w:color w:val="365F91" w:themeColor="accent1" w:themeShade="BF"/>
          <w:sz w:val="24"/>
          <w:szCs w:val="24"/>
        </w:rPr>
      </w:pPr>
      <w:r w:rsidRPr="00987ED1">
        <w:rPr>
          <w:rFonts w:cs="Aparajita"/>
          <w:b/>
          <w:color w:val="365F91" w:themeColor="accent1" w:themeShade="BF"/>
          <w:sz w:val="24"/>
          <w:szCs w:val="24"/>
          <w:lang w:eastAsia="en-GB"/>
        </w:rPr>
        <w:t>Our beliefs No. 8</w:t>
      </w:r>
    </w:p>
    <w:p w14:paraId="691A6B36" w14:textId="4A4EB5A8" w:rsidR="009779CC" w:rsidRPr="007869F7" w:rsidRDefault="000A0194" w:rsidP="0028591D">
      <w:pPr>
        <w:spacing w:before="120" w:after="120" w:line="240" w:lineRule="auto"/>
        <w:jc w:val="both"/>
        <w:rPr>
          <w:rFonts w:cs="Times New Roman"/>
        </w:rPr>
      </w:pPr>
      <w:r w:rsidRPr="007869F7">
        <w:rPr>
          <w:rFonts w:cs="Times New Roman"/>
          <w:b/>
        </w:rPr>
        <w:t>Active management and passive strategies can both play a valuable role.</w:t>
      </w:r>
      <w:r w:rsidR="00E73773">
        <w:rPr>
          <w:rFonts w:cs="Times New Roman"/>
          <w:b/>
        </w:rPr>
        <w:t xml:space="preserve"> </w:t>
      </w:r>
      <w:r w:rsidRPr="007869F7">
        <w:rPr>
          <w:rFonts w:cs="Times New Roman"/>
        </w:rPr>
        <w:t>There is a role for active</w:t>
      </w:r>
      <w:r w:rsidR="00CE6A8A" w:rsidRPr="007869F7">
        <w:rPr>
          <w:rFonts w:cs="Times New Roman"/>
        </w:rPr>
        <w:t xml:space="preserve"> (where the fund manager tries to beat the market, but incurs higher costs) </w:t>
      </w:r>
      <w:r w:rsidRPr="007869F7">
        <w:rPr>
          <w:rFonts w:cs="Times New Roman"/>
        </w:rPr>
        <w:t>and passive</w:t>
      </w:r>
      <w:r w:rsidR="00A03B2C" w:rsidRPr="007869F7">
        <w:rPr>
          <w:rFonts w:cs="Times New Roman"/>
        </w:rPr>
        <w:t xml:space="preserve"> funds</w:t>
      </w:r>
      <w:r w:rsidR="00CE6A8A" w:rsidRPr="007869F7">
        <w:rPr>
          <w:rFonts w:cs="Times New Roman"/>
        </w:rPr>
        <w:t xml:space="preserve"> (which track the index at low cost)</w:t>
      </w:r>
      <w:r w:rsidR="00A03B2C" w:rsidRPr="007869F7">
        <w:rPr>
          <w:rFonts w:cs="Times New Roman"/>
        </w:rPr>
        <w:t xml:space="preserve"> </w:t>
      </w:r>
      <w:r w:rsidRPr="007869F7">
        <w:rPr>
          <w:rFonts w:cs="Times New Roman"/>
        </w:rPr>
        <w:t xml:space="preserve">within a well-managed investment portfolio. </w:t>
      </w:r>
    </w:p>
    <w:p w14:paraId="691A6B38" w14:textId="77777777" w:rsidR="009779CC" w:rsidRPr="007869F7" w:rsidRDefault="000A0194" w:rsidP="0028591D">
      <w:pPr>
        <w:spacing w:before="120" w:after="120" w:line="240" w:lineRule="auto"/>
        <w:jc w:val="both"/>
        <w:rPr>
          <w:rFonts w:cs="Times New Roman"/>
        </w:rPr>
      </w:pPr>
      <w:r w:rsidRPr="007869F7">
        <w:rPr>
          <w:rFonts w:cs="Times New Roman"/>
        </w:rPr>
        <w:t xml:space="preserve">Rather than take an evangelical view of one option over the other, we appreciate that there are arguments for both approaches and accordingly we include both strategies in the portfolios we recommend. </w:t>
      </w:r>
    </w:p>
    <w:p w14:paraId="1B4469D3" w14:textId="52D49928" w:rsidR="007869F7" w:rsidRPr="00987ED1" w:rsidRDefault="007869F7" w:rsidP="0028591D">
      <w:pPr>
        <w:pStyle w:val="ListParagraph"/>
        <w:spacing w:before="120" w:after="120" w:line="240" w:lineRule="auto"/>
        <w:ind w:left="0"/>
        <w:contextualSpacing w:val="0"/>
        <w:jc w:val="both"/>
        <w:rPr>
          <w:rFonts w:cs="Times New Roman"/>
          <w:b/>
          <w:color w:val="365F91" w:themeColor="accent1" w:themeShade="BF"/>
          <w:sz w:val="24"/>
          <w:szCs w:val="24"/>
        </w:rPr>
      </w:pPr>
      <w:r w:rsidRPr="00987ED1">
        <w:rPr>
          <w:rFonts w:cs="Aparajita"/>
          <w:b/>
          <w:color w:val="365F91" w:themeColor="accent1" w:themeShade="BF"/>
          <w:sz w:val="24"/>
          <w:szCs w:val="24"/>
          <w:lang w:eastAsia="en-GB"/>
        </w:rPr>
        <w:t>Our beliefs No. 9</w:t>
      </w:r>
    </w:p>
    <w:p w14:paraId="691A6B40" w14:textId="1A77F163" w:rsidR="00C11FDB" w:rsidRPr="007869F7" w:rsidRDefault="00C11FDB" w:rsidP="0028591D">
      <w:pPr>
        <w:autoSpaceDE w:val="0"/>
        <w:autoSpaceDN w:val="0"/>
        <w:adjustRightInd w:val="0"/>
        <w:spacing w:before="120" w:after="120" w:line="240" w:lineRule="auto"/>
        <w:jc w:val="both"/>
        <w:rPr>
          <w:rFonts w:cs="Times New Roman"/>
        </w:rPr>
      </w:pPr>
      <w:r w:rsidRPr="007869F7">
        <w:rPr>
          <w:rFonts w:cs="Times New Roman"/>
          <w:b/>
          <w:bCs/>
        </w:rPr>
        <w:t>Investment success comes from the consistent application of a robust process.</w:t>
      </w:r>
      <w:r w:rsidR="00E73773">
        <w:rPr>
          <w:rFonts w:cs="Times New Roman"/>
          <w:b/>
          <w:bCs/>
        </w:rPr>
        <w:t xml:space="preserve"> </w:t>
      </w:r>
      <w:r w:rsidRPr="007869F7">
        <w:rPr>
          <w:rFonts w:cs="Times New Roman"/>
        </w:rPr>
        <w:t xml:space="preserve">There are numerous ways to approach the construction and </w:t>
      </w:r>
      <w:r w:rsidR="00E52202" w:rsidRPr="007869F7">
        <w:rPr>
          <w:rFonts w:cs="Times New Roman"/>
        </w:rPr>
        <w:t>on-going</w:t>
      </w:r>
      <w:r w:rsidRPr="007869F7">
        <w:rPr>
          <w:rFonts w:cs="Times New Roman"/>
        </w:rPr>
        <w:t xml:space="preserve"> management of an</w:t>
      </w:r>
      <w:r w:rsidR="00CB792C" w:rsidRPr="007869F7">
        <w:rPr>
          <w:rFonts w:cs="Times New Roman"/>
        </w:rPr>
        <w:t xml:space="preserve"> investment</w:t>
      </w:r>
      <w:r w:rsidRPr="007869F7">
        <w:rPr>
          <w:rFonts w:cs="Times New Roman"/>
        </w:rPr>
        <w:t xml:space="preserve"> portfolio. Without the application of a robust process, the emotional aspects of</w:t>
      </w:r>
      <w:r w:rsidR="00DF4345" w:rsidRPr="007869F7">
        <w:rPr>
          <w:rFonts w:cs="Times New Roman"/>
        </w:rPr>
        <w:t xml:space="preserve"> </w:t>
      </w:r>
      <w:r w:rsidRPr="007869F7">
        <w:rPr>
          <w:rFonts w:cs="Times New Roman"/>
        </w:rPr>
        <w:t>investing can prevent investors from making the best decisions. As a firm, we consistently apply a</w:t>
      </w:r>
      <w:r w:rsidR="00E52202" w:rsidRPr="007869F7">
        <w:rPr>
          <w:rFonts w:cs="Times New Roman"/>
        </w:rPr>
        <w:t xml:space="preserve"> multi-</w:t>
      </w:r>
      <w:r w:rsidRPr="007869F7">
        <w:rPr>
          <w:rFonts w:cs="Times New Roman"/>
        </w:rPr>
        <w:t>stage inve</w:t>
      </w:r>
      <w:r w:rsidR="00282FB3" w:rsidRPr="007869F7">
        <w:rPr>
          <w:rFonts w:cs="Times New Roman"/>
        </w:rPr>
        <w:t xml:space="preserve">stment advice process designed to deliver </w:t>
      </w:r>
      <w:r w:rsidRPr="007869F7">
        <w:rPr>
          <w:rFonts w:cs="Times New Roman"/>
        </w:rPr>
        <w:t>suitable advice to every client. The outcome is tailored to meet individual objectives but the pr</w:t>
      </w:r>
      <w:r w:rsidR="00B030E9" w:rsidRPr="007869F7">
        <w:rPr>
          <w:rFonts w:cs="Times New Roman"/>
        </w:rPr>
        <w:t>ocess itself is always the same.</w:t>
      </w:r>
    </w:p>
    <w:p w14:paraId="691A6B42" w14:textId="77777777" w:rsidR="00B030E9" w:rsidRPr="007869F7" w:rsidRDefault="00B030E9" w:rsidP="0028591D">
      <w:pPr>
        <w:autoSpaceDE w:val="0"/>
        <w:autoSpaceDN w:val="0"/>
        <w:adjustRightInd w:val="0"/>
        <w:spacing w:before="120" w:after="120" w:line="240" w:lineRule="auto"/>
        <w:jc w:val="both"/>
        <w:rPr>
          <w:rFonts w:cs="Times New Roman"/>
        </w:rPr>
      </w:pPr>
      <w:r w:rsidRPr="007869F7">
        <w:rPr>
          <w:rFonts w:cs="Times New Roman"/>
        </w:rPr>
        <w:t>As with any plan we need to regularly review progress to make sure we are on track. We will discuss and agree with you the best way to achieve this.</w:t>
      </w:r>
    </w:p>
    <w:p w14:paraId="41046714" w14:textId="6CD3D0A5" w:rsidR="007869F7" w:rsidRPr="00987ED1" w:rsidRDefault="007869F7" w:rsidP="0028591D">
      <w:pPr>
        <w:pStyle w:val="ListParagraph"/>
        <w:spacing w:before="120" w:after="120" w:line="240" w:lineRule="auto"/>
        <w:ind w:left="0"/>
        <w:contextualSpacing w:val="0"/>
        <w:jc w:val="both"/>
        <w:rPr>
          <w:rFonts w:cs="Times New Roman"/>
          <w:b/>
          <w:color w:val="365F91" w:themeColor="accent1" w:themeShade="BF"/>
          <w:sz w:val="24"/>
          <w:szCs w:val="24"/>
        </w:rPr>
      </w:pPr>
      <w:r w:rsidRPr="00987ED1">
        <w:rPr>
          <w:rFonts w:cs="Aparajita"/>
          <w:b/>
          <w:color w:val="365F91" w:themeColor="accent1" w:themeShade="BF"/>
          <w:sz w:val="24"/>
          <w:szCs w:val="24"/>
          <w:lang w:eastAsia="en-GB"/>
        </w:rPr>
        <w:t>Our beliefs No. 10</w:t>
      </w:r>
    </w:p>
    <w:p w14:paraId="691A6B4C" w14:textId="2ECFDBC0" w:rsidR="009779CC" w:rsidRPr="007869F7" w:rsidRDefault="00727959" w:rsidP="0028591D">
      <w:pPr>
        <w:autoSpaceDE w:val="0"/>
        <w:autoSpaceDN w:val="0"/>
        <w:adjustRightInd w:val="0"/>
        <w:spacing w:before="120" w:after="120" w:line="240" w:lineRule="auto"/>
        <w:jc w:val="both"/>
        <w:rPr>
          <w:rFonts w:cs="Times New Roman"/>
        </w:rPr>
      </w:pPr>
      <w:r w:rsidRPr="007869F7">
        <w:rPr>
          <w:rFonts w:cs="Times New Roman"/>
          <w:b/>
        </w:rPr>
        <w:t>Success is often about the things you don’t do as much as the things you do.</w:t>
      </w:r>
      <w:r w:rsidR="00E73773">
        <w:rPr>
          <w:rFonts w:cs="Times New Roman"/>
          <w:b/>
        </w:rPr>
        <w:t xml:space="preserve"> </w:t>
      </w:r>
      <w:r w:rsidRPr="007869F7">
        <w:rPr>
          <w:rFonts w:cs="Times New Roman"/>
        </w:rPr>
        <w:t>We have some simple rules that we apply to all portfolios unless the clients specifically request a different approach:</w:t>
      </w:r>
      <w:r w:rsidR="00964A75" w:rsidRPr="007869F7">
        <w:rPr>
          <w:rFonts w:cs="Times New Roman"/>
        </w:rPr>
        <w:t xml:space="preserve"> </w:t>
      </w:r>
      <w:r w:rsidRPr="007869F7">
        <w:rPr>
          <w:rFonts w:cs="Times New Roman"/>
        </w:rPr>
        <w:t xml:space="preserve">No individual </w:t>
      </w:r>
      <w:r w:rsidR="002523F7" w:rsidRPr="007869F7">
        <w:rPr>
          <w:rFonts w:cs="Times New Roman"/>
        </w:rPr>
        <w:t xml:space="preserve">bonds / shares. </w:t>
      </w:r>
      <w:r w:rsidRPr="007869F7">
        <w:rPr>
          <w:rFonts w:cs="Times New Roman"/>
        </w:rPr>
        <w:t xml:space="preserve">No </w:t>
      </w:r>
      <w:r w:rsidR="009779CC" w:rsidRPr="007869F7">
        <w:rPr>
          <w:rFonts w:cs="Times New Roman"/>
        </w:rPr>
        <w:t xml:space="preserve">direct </w:t>
      </w:r>
      <w:r w:rsidRPr="007869F7">
        <w:rPr>
          <w:rFonts w:cs="Times New Roman"/>
        </w:rPr>
        <w:t>hedge funds</w:t>
      </w:r>
      <w:r w:rsidR="002523F7" w:rsidRPr="007869F7">
        <w:rPr>
          <w:rFonts w:cs="Times New Roman"/>
        </w:rPr>
        <w:t xml:space="preserve">. </w:t>
      </w:r>
      <w:r w:rsidRPr="007869F7">
        <w:rPr>
          <w:rFonts w:cs="Times New Roman"/>
        </w:rPr>
        <w:t xml:space="preserve">No </w:t>
      </w:r>
      <w:r w:rsidR="009779CC" w:rsidRPr="007869F7">
        <w:rPr>
          <w:rFonts w:cs="Times New Roman"/>
        </w:rPr>
        <w:t xml:space="preserve">direct </w:t>
      </w:r>
      <w:r w:rsidR="00603CE0" w:rsidRPr="007869F7">
        <w:rPr>
          <w:rFonts w:cs="Times New Roman"/>
        </w:rPr>
        <w:t>unauthorised</w:t>
      </w:r>
      <w:r w:rsidRPr="007869F7">
        <w:rPr>
          <w:rFonts w:cs="Times New Roman"/>
        </w:rPr>
        <w:t xml:space="preserve"> funds</w:t>
      </w:r>
      <w:r w:rsidR="002523F7" w:rsidRPr="007869F7">
        <w:rPr>
          <w:rFonts w:cs="Times New Roman"/>
        </w:rPr>
        <w:t xml:space="preserve">. </w:t>
      </w:r>
      <w:r w:rsidR="00603CE0" w:rsidRPr="007869F7">
        <w:rPr>
          <w:rFonts w:cs="Times New Roman"/>
        </w:rPr>
        <w:t xml:space="preserve">Only use funds run by </w:t>
      </w:r>
      <w:r w:rsidR="002E2638" w:rsidRPr="007869F7">
        <w:rPr>
          <w:rFonts w:cs="Times New Roman"/>
        </w:rPr>
        <w:t xml:space="preserve">FCA </w:t>
      </w:r>
      <w:r w:rsidRPr="007869F7">
        <w:rPr>
          <w:rFonts w:cs="Times New Roman"/>
        </w:rPr>
        <w:t>regu</w:t>
      </w:r>
      <w:r w:rsidR="00603CE0" w:rsidRPr="007869F7">
        <w:rPr>
          <w:rFonts w:cs="Times New Roman"/>
        </w:rPr>
        <w:t>l</w:t>
      </w:r>
      <w:r w:rsidRPr="007869F7">
        <w:rPr>
          <w:rFonts w:cs="Times New Roman"/>
        </w:rPr>
        <w:t xml:space="preserve">ated </w:t>
      </w:r>
      <w:r w:rsidR="00603CE0" w:rsidRPr="007869F7">
        <w:rPr>
          <w:rFonts w:cs="Times New Roman"/>
        </w:rPr>
        <w:t>managers</w:t>
      </w:r>
      <w:r w:rsidR="002523F7" w:rsidRPr="007869F7">
        <w:rPr>
          <w:rFonts w:cs="Times New Roman"/>
        </w:rPr>
        <w:t xml:space="preserve">. </w:t>
      </w:r>
      <w:r w:rsidR="009779CC" w:rsidRPr="007869F7">
        <w:rPr>
          <w:rFonts w:cs="Times New Roman"/>
        </w:rPr>
        <w:t>We use expert managers to help assist in selecting risk managed portfolios.</w:t>
      </w:r>
    </w:p>
    <w:p w14:paraId="691A6B58" w14:textId="44C91CE4" w:rsidR="005374EF" w:rsidRDefault="00603CE0" w:rsidP="0028591D">
      <w:pPr>
        <w:autoSpaceDE w:val="0"/>
        <w:autoSpaceDN w:val="0"/>
        <w:adjustRightInd w:val="0"/>
        <w:spacing w:before="120" w:after="120" w:line="240" w:lineRule="auto"/>
        <w:jc w:val="both"/>
        <w:rPr>
          <w:rFonts w:cs="Times New Roman"/>
          <w:b/>
          <w:color w:val="365F91" w:themeColor="accent1" w:themeShade="BF"/>
        </w:rPr>
      </w:pPr>
      <w:r w:rsidRPr="007869F7">
        <w:rPr>
          <w:rFonts w:cs="Times New Roman"/>
          <w:b/>
          <w:color w:val="365F91" w:themeColor="accent1" w:themeShade="BF"/>
        </w:rPr>
        <w:t>If you don’t understand anything here please ask us</w:t>
      </w:r>
      <w:r w:rsidR="00B000ED" w:rsidRPr="007869F7">
        <w:rPr>
          <w:rFonts w:cs="Times New Roman"/>
          <w:b/>
          <w:color w:val="365F91" w:themeColor="accent1" w:themeShade="BF"/>
        </w:rPr>
        <w:t>. T</w:t>
      </w:r>
      <w:r w:rsidRPr="007869F7">
        <w:rPr>
          <w:rFonts w:cs="Times New Roman"/>
          <w:b/>
          <w:color w:val="365F91" w:themeColor="accent1" w:themeShade="BF"/>
        </w:rPr>
        <w:t xml:space="preserve">here is no such thing as a </w:t>
      </w:r>
      <w:r w:rsidR="00B000ED" w:rsidRPr="007869F7">
        <w:rPr>
          <w:rFonts w:cs="Times New Roman"/>
          <w:b/>
          <w:color w:val="365F91" w:themeColor="accent1" w:themeShade="BF"/>
        </w:rPr>
        <w:t>silly</w:t>
      </w:r>
      <w:r w:rsidRPr="007869F7">
        <w:rPr>
          <w:rFonts w:cs="Times New Roman"/>
          <w:b/>
          <w:color w:val="365F91" w:themeColor="accent1" w:themeShade="BF"/>
        </w:rPr>
        <w:t xml:space="preserve"> question when it comes to looking after you</w:t>
      </w:r>
      <w:r w:rsidR="00DF4345" w:rsidRPr="007869F7">
        <w:rPr>
          <w:rFonts w:cs="Times New Roman"/>
          <w:b/>
          <w:color w:val="365F91" w:themeColor="accent1" w:themeShade="BF"/>
        </w:rPr>
        <w:t>r</w:t>
      </w:r>
      <w:r w:rsidRPr="007869F7">
        <w:rPr>
          <w:rFonts w:cs="Times New Roman"/>
          <w:b/>
          <w:color w:val="365F91" w:themeColor="accent1" w:themeShade="BF"/>
        </w:rPr>
        <w:t xml:space="preserve"> money!</w:t>
      </w:r>
    </w:p>
    <w:p w14:paraId="1AA5E403" w14:textId="77777777" w:rsidR="00987ED1" w:rsidRDefault="00987ED1" w:rsidP="00987ED1">
      <w:pPr>
        <w:spacing w:after="0" w:line="240" w:lineRule="auto"/>
        <w:jc w:val="both"/>
        <w:rPr>
          <w:rFonts w:cs="Aparajita"/>
          <w:b/>
        </w:rPr>
      </w:pPr>
    </w:p>
    <w:p w14:paraId="6928F9E4" w14:textId="77777777" w:rsidR="00987ED1" w:rsidRDefault="00987ED1" w:rsidP="00987ED1">
      <w:pPr>
        <w:spacing w:after="0" w:line="240" w:lineRule="auto"/>
        <w:jc w:val="both"/>
        <w:rPr>
          <w:rFonts w:cs="Aparajita"/>
          <w:b/>
        </w:rPr>
      </w:pPr>
    </w:p>
    <w:p w14:paraId="155603CE" w14:textId="77777777" w:rsidR="00987ED1" w:rsidRDefault="00987ED1" w:rsidP="00987ED1">
      <w:pPr>
        <w:spacing w:after="0" w:line="240" w:lineRule="auto"/>
        <w:jc w:val="both"/>
        <w:rPr>
          <w:rFonts w:cs="Aparajita"/>
          <w:b/>
        </w:rPr>
      </w:pPr>
    </w:p>
    <w:p w14:paraId="1FDCB5C1" w14:textId="77777777" w:rsidR="00987ED1" w:rsidRDefault="00987ED1" w:rsidP="00987ED1">
      <w:pPr>
        <w:spacing w:after="0" w:line="240" w:lineRule="auto"/>
        <w:jc w:val="both"/>
        <w:rPr>
          <w:rFonts w:cs="Aparajita"/>
          <w:b/>
        </w:rPr>
      </w:pPr>
    </w:p>
    <w:p w14:paraId="1B8F969C" w14:textId="77777777" w:rsidR="00987ED1" w:rsidRDefault="00987ED1" w:rsidP="00987ED1">
      <w:pPr>
        <w:spacing w:after="0" w:line="240" w:lineRule="auto"/>
        <w:jc w:val="both"/>
        <w:rPr>
          <w:rFonts w:cs="Aparajita"/>
          <w:b/>
        </w:rPr>
      </w:pPr>
    </w:p>
    <w:p w14:paraId="346A388E" w14:textId="77777777" w:rsidR="00987ED1" w:rsidRPr="00C621AC" w:rsidRDefault="00987ED1" w:rsidP="00987ED1">
      <w:pPr>
        <w:spacing w:after="0" w:line="240" w:lineRule="auto"/>
        <w:jc w:val="both"/>
        <w:rPr>
          <w:rFonts w:cs="Aparajita"/>
          <w:b/>
        </w:rPr>
      </w:pPr>
      <w:r w:rsidRPr="00C621AC">
        <w:rPr>
          <w:rFonts w:cs="Aparajita"/>
          <w:b/>
        </w:rPr>
        <w:t xml:space="preserve">Risk Warnings. </w:t>
      </w:r>
    </w:p>
    <w:p w14:paraId="6A087022" w14:textId="77777777" w:rsidR="00987ED1" w:rsidRPr="00C621AC" w:rsidRDefault="00987ED1" w:rsidP="00987ED1">
      <w:pPr>
        <w:spacing w:after="0" w:line="240" w:lineRule="auto"/>
        <w:jc w:val="both"/>
        <w:rPr>
          <w:rFonts w:cs="Aparajita"/>
          <w:b/>
        </w:rPr>
      </w:pPr>
      <w:r w:rsidRPr="00C621AC">
        <w:rPr>
          <w:rFonts w:cs="Aparajita"/>
          <w:b/>
        </w:rPr>
        <w:t>All investments carry risk. These are a few of the important ones.</w:t>
      </w:r>
    </w:p>
    <w:p w14:paraId="60C2AC4E" w14:textId="77777777" w:rsidR="00987ED1" w:rsidRPr="00C621AC" w:rsidRDefault="00987ED1" w:rsidP="00987ED1">
      <w:pPr>
        <w:spacing w:after="0" w:line="240" w:lineRule="auto"/>
        <w:jc w:val="both"/>
        <w:rPr>
          <w:rFonts w:cs="Aparajita"/>
          <w:b/>
        </w:rPr>
      </w:pPr>
    </w:p>
    <w:p w14:paraId="27591204" w14:textId="77777777" w:rsidR="00987ED1" w:rsidRPr="00C621AC" w:rsidRDefault="00987ED1" w:rsidP="00987ED1">
      <w:pPr>
        <w:spacing w:after="0" w:line="240" w:lineRule="auto"/>
        <w:jc w:val="both"/>
        <w:rPr>
          <w:rFonts w:cs="Aparajita"/>
        </w:rPr>
      </w:pPr>
      <w:r w:rsidRPr="00C621AC">
        <w:rPr>
          <w:rFonts w:cs="Aparajita"/>
        </w:rPr>
        <w:t>The risk that, the buying power of your capital decreases over time.</w:t>
      </w:r>
    </w:p>
    <w:p w14:paraId="1F14E997" w14:textId="77777777" w:rsidR="00987ED1" w:rsidRPr="00C621AC" w:rsidRDefault="00987ED1" w:rsidP="00987ED1">
      <w:pPr>
        <w:spacing w:after="0" w:line="240" w:lineRule="auto"/>
        <w:jc w:val="both"/>
        <w:rPr>
          <w:rFonts w:cs="Aparajita"/>
        </w:rPr>
      </w:pPr>
      <w:r w:rsidRPr="00C621AC">
        <w:rPr>
          <w:rFonts w:cs="Aparajita"/>
        </w:rPr>
        <w:t xml:space="preserve">The risk that, the growth you experience is variable. </w:t>
      </w:r>
    </w:p>
    <w:p w14:paraId="0051F9EF" w14:textId="77777777" w:rsidR="00987ED1" w:rsidRPr="00C621AC" w:rsidRDefault="00987ED1" w:rsidP="00987ED1">
      <w:pPr>
        <w:spacing w:after="0" w:line="240" w:lineRule="auto"/>
        <w:jc w:val="both"/>
        <w:rPr>
          <w:rFonts w:cs="Aparajita"/>
        </w:rPr>
      </w:pPr>
      <w:r w:rsidRPr="00C621AC">
        <w:rPr>
          <w:rFonts w:cs="Aparajita"/>
        </w:rPr>
        <w:t xml:space="preserve">The risk that, you might get back less than you invested. </w:t>
      </w:r>
    </w:p>
    <w:p w14:paraId="63EE0284" w14:textId="77777777" w:rsidR="00987ED1" w:rsidRPr="00C621AC" w:rsidRDefault="00987ED1" w:rsidP="00987ED1">
      <w:pPr>
        <w:spacing w:after="0" w:line="240" w:lineRule="auto"/>
        <w:jc w:val="both"/>
        <w:rPr>
          <w:rFonts w:cs="Aparajita"/>
        </w:rPr>
      </w:pPr>
      <w:r w:rsidRPr="00C621AC">
        <w:rPr>
          <w:rFonts w:cs="Aparajita"/>
        </w:rPr>
        <w:t>The risk that, you do not achieve one of your objectives.</w:t>
      </w:r>
    </w:p>
    <w:p w14:paraId="3CE360BD" w14:textId="77777777" w:rsidR="00987ED1" w:rsidRPr="00C621AC" w:rsidRDefault="00987ED1" w:rsidP="00987ED1">
      <w:pPr>
        <w:spacing w:after="0" w:line="240" w:lineRule="auto"/>
        <w:jc w:val="both"/>
        <w:rPr>
          <w:rFonts w:cs="Aparajita"/>
        </w:rPr>
      </w:pPr>
    </w:p>
    <w:p w14:paraId="7A031244" w14:textId="77777777" w:rsidR="00987ED1" w:rsidRPr="00004732" w:rsidRDefault="00987ED1" w:rsidP="00987ED1">
      <w:pPr>
        <w:spacing w:after="120" w:line="240" w:lineRule="auto"/>
        <w:jc w:val="both"/>
        <w:rPr>
          <w:rFonts w:cs="Aparajita"/>
          <w:b/>
          <w:i/>
        </w:rPr>
      </w:pPr>
      <w:r w:rsidRPr="00004732">
        <w:rPr>
          <w:rFonts w:cs="Aparajita"/>
          <w:b/>
          <w:i/>
        </w:rPr>
        <w:t>Appendix:</w:t>
      </w:r>
    </w:p>
    <w:p w14:paraId="62E0B236" w14:textId="77777777" w:rsidR="00987ED1" w:rsidRPr="00C621AC" w:rsidRDefault="00987ED1" w:rsidP="00987ED1">
      <w:pPr>
        <w:spacing w:after="0" w:line="240" w:lineRule="auto"/>
        <w:jc w:val="both"/>
        <w:rPr>
          <w:rFonts w:cs="Aparajita"/>
        </w:rPr>
      </w:pPr>
      <w:r w:rsidRPr="00C621AC">
        <w:rPr>
          <w:rFonts w:cs="Aparajita"/>
        </w:rPr>
        <w:t>Three academics, Brinson, Hood and Beebower (1986, Financial Analysts Journal), who studied the performance of 91 large US pension plans between 1974 and 1983, analysed the impact of key decisions made by investment managers: long term asset allocation (i.e. 60% in equities, 40% bonds), stock picking and short term tactical changes to the asset mix. The results concluded that 90% of return and risk in a given fund was determined by the long term asset mix, with both stock picking and short term tactical changes having a negligible impact.</w:t>
      </w:r>
    </w:p>
    <w:sectPr w:rsidR="00987ED1" w:rsidRPr="00C621AC" w:rsidSect="0024681E">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AE94DB" w14:textId="77777777" w:rsidR="001E596C" w:rsidRDefault="001E596C" w:rsidP="00A03B2C">
      <w:pPr>
        <w:spacing w:after="0" w:line="240" w:lineRule="auto"/>
      </w:pPr>
      <w:r>
        <w:separator/>
      </w:r>
    </w:p>
  </w:endnote>
  <w:endnote w:type="continuationSeparator" w:id="0">
    <w:p w14:paraId="5BD64B78" w14:textId="77777777" w:rsidR="001E596C" w:rsidRDefault="001E596C" w:rsidP="00A0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emilight">
    <w:altName w:val="Arial"/>
    <w:charset w:val="00"/>
    <w:family w:val="swiss"/>
    <w:pitch w:val="variable"/>
    <w:sig w:usb0="00000000" w:usb1="C000E47F" w:usb2="00000009" w:usb3="00000000" w:csb0="000001FF"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441054112"/>
      <w:docPartObj>
        <w:docPartGallery w:val="Page Numbers (Bottom of Page)"/>
        <w:docPartUnique/>
      </w:docPartObj>
    </w:sdtPr>
    <w:sdtEndPr/>
    <w:sdtContent>
      <w:sdt>
        <w:sdtPr>
          <w:rPr>
            <w:sz w:val="16"/>
            <w:szCs w:val="16"/>
          </w:rPr>
          <w:id w:val="-1279251089"/>
          <w:docPartObj>
            <w:docPartGallery w:val="Page Numbers (Top of Page)"/>
            <w:docPartUnique/>
          </w:docPartObj>
        </w:sdtPr>
        <w:sdtEndPr/>
        <w:sdtContent>
          <w:p w14:paraId="691A6B70" w14:textId="77777777" w:rsidR="00A03B2C" w:rsidRPr="0024681E" w:rsidRDefault="00A03B2C">
            <w:pPr>
              <w:pStyle w:val="Footer"/>
              <w:jc w:val="center"/>
              <w:rPr>
                <w:sz w:val="16"/>
                <w:szCs w:val="16"/>
              </w:rPr>
            </w:pPr>
            <w:r w:rsidRPr="0024681E">
              <w:rPr>
                <w:sz w:val="16"/>
                <w:szCs w:val="16"/>
              </w:rPr>
              <w:t xml:space="preserve">Page </w:t>
            </w:r>
            <w:r w:rsidRPr="0024681E">
              <w:rPr>
                <w:b/>
                <w:bCs/>
                <w:sz w:val="16"/>
                <w:szCs w:val="16"/>
              </w:rPr>
              <w:fldChar w:fldCharType="begin"/>
            </w:r>
            <w:r w:rsidRPr="0024681E">
              <w:rPr>
                <w:b/>
                <w:bCs/>
                <w:sz w:val="16"/>
                <w:szCs w:val="16"/>
              </w:rPr>
              <w:instrText xml:space="preserve"> PAGE </w:instrText>
            </w:r>
            <w:r w:rsidRPr="0024681E">
              <w:rPr>
                <w:b/>
                <w:bCs/>
                <w:sz w:val="16"/>
                <w:szCs w:val="16"/>
              </w:rPr>
              <w:fldChar w:fldCharType="separate"/>
            </w:r>
            <w:r w:rsidR="00F324CF">
              <w:rPr>
                <w:b/>
                <w:bCs/>
                <w:noProof/>
                <w:sz w:val="16"/>
                <w:szCs w:val="16"/>
              </w:rPr>
              <w:t>2</w:t>
            </w:r>
            <w:r w:rsidRPr="0024681E">
              <w:rPr>
                <w:b/>
                <w:bCs/>
                <w:sz w:val="16"/>
                <w:szCs w:val="16"/>
              </w:rPr>
              <w:fldChar w:fldCharType="end"/>
            </w:r>
            <w:r w:rsidRPr="0024681E">
              <w:rPr>
                <w:sz w:val="16"/>
                <w:szCs w:val="16"/>
              </w:rPr>
              <w:t xml:space="preserve"> of </w:t>
            </w:r>
            <w:r w:rsidRPr="0024681E">
              <w:rPr>
                <w:b/>
                <w:bCs/>
                <w:sz w:val="16"/>
                <w:szCs w:val="16"/>
              </w:rPr>
              <w:fldChar w:fldCharType="begin"/>
            </w:r>
            <w:r w:rsidRPr="0024681E">
              <w:rPr>
                <w:b/>
                <w:bCs/>
                <w:sz w:val="16"/>
                <w:szCs w:val="16"/>
              </w:rPr>
              <w:instrText xml:space="preserve"> NUMPAGES  </w:instrText>
            </w:r>
            <w:r w:rsidRPr="0024681E">
              <w:rPr>
                <w:b/>
                <w:bCs/>
                <w:sz w:val="16"/>
                <w:szCs w:val="16"/>
              </w:rPr>
              <w:fldChar w:fldCharType="separate"/>
            </w:r>
            <w:r w:rsidR="00F324CF">
              <w:rPr>
                <w:b/>
                <w:bCs/>
                <w:noProof/>
                <w:sz w:val="16"/>
                <w:szCs w:val="16"/>
              </w:rPr>
              <w:t>3</w:t>
            </w:r>
            <w:r w:rsidRPr="0024681E">
              <w:rPr>
                <w:b/>
                <w:bCs/>
                <w:sz w:val="16"/>
                <w:szCs w:val="16"/>
              </w:rPr>
              <w:fldChar w:fldCharType="end"/>
            </w:r>
          </w:p>
        </w:sdtContent>
      </w:sdt>
    </w:sdtContent>
  </w:sdt>
  <w:p w14:paraId="691A6B71" w14:textId="77777777" w:rsidR="00A03B2C" w:rsidRDefault="00A03B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5B4B05" w14:textId="77777777" w:rsidR="001E596C" w:rsidRDefault="001E596C" w:rsidP="00A03B2C">
      <w:pPr>
        <w:spacing w:after="0" w:line="240" w:lineRule="auto"/>
      </w:pPr>
      <w:r>
        <w:separator/>
      </w:r>
    </w:p>
  </w:footnote>
  <w:footnote w:type="continuationSeparator" w:id="0">
    <w:p w14:paraId="0BBCB800" w14:textId="77777777" w:rsidR="001E596C" w:rsidRDefault="001E596C" w:rsidP="00A03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45823"/>
    <w:multiLevelType w:val="hybridMultilevel"/>
    <w:tmpl w:val="9D8449B0"/>
    <w:lvl w:ilvl="0" w:tplc="9CD41D4C">
      <w:start w:val="1"/>
      <w:numFmt w:val="decimal"/>
      <w:suff w:val="space"/>
      <w:lvlText w:val="%1."/>
      <w:lvlJc w:val="left"/>
      <w:pPr>
        <w:ind w:left="360" w:hanging="360"/>
      </w:pPr>
      <w:rPr>
        <w:rFonts w:cs="Times New Roman" w:hint="default"/>
      </w:rPr>
    </w:lvl>
    <w:lvl w:ilvl="1" w:tplc="F9BC54B2">
      <w:start w:val="1"/>
      <w:numFmt w:val="lowerLetter"/>
      <w:suff w:val="space"/>
      <w:lvlText w:val="%2."/>
      <w:lvlJc w:val="left"/>
      <w:pPr>
        <w:ind w:left="108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1E6670EB"/>
    <w:multiLevelType w:val="hybridMultilevel"/>
    <w:tmpl w:val="710C6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EF62AE9"/>
    <w:multiLevelType w:val="hybridMultilevel"/>
    <w:tmpl w:val="D9D8B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047BB0"/>
    <w:multiLevelType w:val="hybridMultilevel"/>
    <w:tmpl w:val="B728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9F2918"/>
    <w:multiLevelType w:val="multilevel"/>
    <w:tmpl w:val="56C8B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5E27C4"/>
    <w:multiLevelType w:val="hybridMultilevel"/>
    <w:tmpl w:val="8B802A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29"/>
    <w:rsid w:val="00015999"/>
    <w:rsid w:val="000355BB"/>
    <w:rsid w:val="000538DF"/>
    <w:rsid w:val="00062C49"/>
    <w:rsid w:val="000765A4"/>
    <w:rsid w:val="000A0194"/>
    <w:rsid w:val="000A2C51"/>
    <w:rsid w:val="000B1E71"/>
    <w:rsid w:val="000B3939"/>
    <w:rsid w:val="000E5E98"/>
    <w:rsid w:val="000E6708"/>
    <w:rsid w:val="000F09C1"/>
    <w:rsid w:val="00111616"/>
    <w:rsid w:val="00124EDB"/>
    <w:rsid w:val="0013374D"/>
    <w:rsid w:val="001407E9"/>
    <w:rsid w:val="001706DB"/>
    <w:rsid w:val="00192FE0"/>
    <w:rsid w:val="001B14D0"/>
    <w:rsid w:val="001B290B"/>
    <w:rsid w:val="001E596C"/>
    <w:rsid w:val="00200145"/>
    <w:rsid w:val="0024681E"/>
    <w:rsid w:val="002523F7"/>
    <w:rsid w:val="002604C9"/>
    <w:rsid w:val="002615D4"/>
    <w:rsid w:val="00282FB3"/>
    <w:rsid w:val="0028591D"/>
    <w:rsid w:val="002A7060"/>
    <w:rsid w:val="002E2638"/>
    <w:rsid w:val="002F028C"/>
    <w:rsid w:val="002F7D71"/>
    <w:rsid w:val="00344684"/>
    <w:rsid w:val="003C6CCA"/>
    <w:rsid w:val="003D3D3B"/>
    <w:rsid w:val="003F067A"/>
    <w:rsid w:val="003F12E4"/>
    <w:rsid w:val="003F39AA"/>
    <w:rsid w:val="003F4691"/>
    <w:rsid w:val="00414BA8"/>
    <w:rsid w:val="004156B8"/>
    <w:rsid w:val="0042620B"/>
    <w:rsid w:val="004607C8"/>
    <w:rsid w:val="00463A85"/>
    <w:rsid w:val="00483C4E"/>
    <w:rsid w:val="004848A5"/>
    <w:rsid w:val="004B2317"/>
    <w:rsid w:val="004B4EB4"/>
    <w:rsid w:val="004C342E"/>
    <w:rsid w:val="004D62FC"/>
    <w:rsid w:val="0051646E"/>
    <w:rsid w:val="005176FB"/>
    <w:rsid w:val="005210E8"/>
    <w:rsid w:val="005374EF"/>
    <w:rsid w:val="0054710A"/>
    <w:rsid w:val="00547E10"/>
    <w:rsid w:val="00565637"/>
    <w:rsid w:val="00571342"/>
    <w:rsid w:val="00573C3C"/>
    <w:rsid w:val="005769FD"/>
    <w:rsid w:val="00584D29"/>
    <w:rsid w:val="005F719E"/>
    <w:rsid w:val="00603CE0"/>
    <w:rsid w:val="00614E75"/>
    <w:rsid w:val="006200B9"/>
    <w:rsid w:val="006267A5"/>
    <w:rsid w:val="0067202B"/>
    <w:rsid w:val="006735E0"/>
    <w:rsid w:val="00685307"/>
    <w:rsid w:val="0068554C"/>
    <w:rsid w:val="006A1E7E"/>
    <w:rsid w:val="006C6011"/>
    <w:rsid w:val="006D2D3E"/>
    <w:rsid w:val="006F14FC"/>
    <w:rsid w:val="00727959"/>
    <w:rsid w:val="0073327B"/>
    <w:rsid w:val="007453FB"/>
    <w:rsid w:val="007556C7"/>
    <w:rsid w:val="00773AE2"/>
    <w:rsid w:val="007869F7"/>
    <w:rsid w:val="007C79B5"/>
    <w:rsid w:val="007F26C4"/>
    <w:rsid w:val="0080652C"/>
    <w:rsid w:val="008128B2"/>
    <w:rsid w:val="00815640"/>
    <w:rsid w:val="00822BB1"/>
    <w:rsid w:val="00855DEF"/>
    <w:rsid w:val="008632EC"/>
    <w:rsid w:val="00863927"/>
    <w:rsid w:val="00893BF0"/>
    <w:rsid w:val="0089690D"/>
    <w:rsid w:val="008B15A1"/>
    <w:rsid w:val="008C61A3"/>
    <w:rsid w:val="00912E80"/>
    <w:rsid w:val="00952FEA"/>
    <w:rsid w:val="00957793"/>
    <w:rsid w:val="00964A75"/>
    <w:rsid w:val="009660BB"/>
    <w:rsid w:val="009728E8"/>
    <w:rsid w:val="009779CC"/>
    <w:rsid w:val="00980828"/>
    <w:rsid w:val="00987ED1"/>
    <w:rsid w:val="00993A44"/>
    <w:rsid w:val="009E1B50"/>
    <w:rsid w:val="009E78E0"/>
    <w:rsid w:val="00A03B2C"/>
    <w:rsid w:val="00A07169"/>
    <w:rsid w:val="00A5707A"/>
    <w:rsid w:val="00A73E2C"/>
    <w:rsid w:val="00A7716A"/>
    <w:rsid w:val="00A84BB7"/>
    <w:rsid w:val="00AC3A3F"/>
    <w:rsid w:val="00B000ED"/>
    <w:rsid w:val="00B03093"/>
    <w:rsid w:val="00B030E9"/>
    <w:rsid w:val="00B3202D"/>
    <w:rsid w:val="00B63747"/>
    <w:rsid w:val="00B64C2A"/>
    <w:rsid w:val="00B71935"/>
    <w:rsid w:val="00B727C3"/>
    <w:rsid w:val="00B92EA6"/>
    <w:rsid w:val="00B97062"/>
    <w:rsid w:val="00BA2807"/>
    <w:rsid w:val="00BA2D6F"/>
    <w:rsid w:val="00BD278C"/>
    <w:rsid w:val="00BE3685"/>
    <w:rsid w:val="00C11FDB"/>
    <w:rsid w:val="00C13963"/>
    <w:rsid w:val="00C13B3E"/>
    <w:rsid w:val="00C25446"/>
    <w:rsid w:val="00C34C1E"/>
    <w:rsid w:val="00C564A1"/>
    <w:rsid w:val="00C70DFF"/>
    <w:rsid w:val="00C75DE3"/>
    <w:rsid w:val="00CA3721"/>
    <w:rsid w:val="00CB26D7"/>
    <w:rsid w:val="00CB5242"/>
    <w:rsid w:val="00CB6E1C"/>
    <w:rsid w:val="00CB792C"/>
    <w:rsid w:val="00CC5715"/>
    <w:rsid w:val="00CE4DE7"/>
    <w:rsid w:val="00CE6A8A"/>
    <w:rsid w:val="00D007FC"/>
    <w:rsid w:val="00D04A2C"/>
    <w:rsid w:val="00D120A3"/>
    <w:rsid w:val="00D15800"/>
    <w:rsid w:val="00D15B2C"/>
    <w:rsid w:val="00D46A74"/>
    <w:rsid w:val="00D51577"/>
    <w:rsid w:val="00D53405"/>
    <w:rsid w:val="00DC3415"/>
    <w:rsid w:val="00DC61F9"/>
    <w:rsid w:val="00DE2AA9"/>
    <w:rsid w:val="00DE2E1C"/>
    <w:rsid w:val="00DF4345"/>
    <w:rsid w:val="00E26D6E"/>
    <w:rsid w:val="00E4774B"/>
    <w:rsid w:val="00E52202"/>
    <w:rsid w:val="00E63718"/>
    <w:rsid w:val="00E73773"/>
    <w:rsid w:val="00E87D5D"/>
    <w:rsid w:val="00E90636"/>
    <w:rsid w:val="00E93846"/>
    <w:rsid w:val="00EA4F01"/>
    <w:rsid w:val="00EB303C"/>
    <w:rsid w:val="00EF2968"/>
    <w:rsid w:val="00F03D2C"/>
    <w:rsid w:val="00F05AB7"/>
    <w:rsid w:val="00F15469"/>
    <w:rsid w:val="00F15F26"/>
    <w:rsid w:val="00F25369"/>
    <w:rsid w:val="00F30C29"/>
    <w:rsid w:val="00F324CF"/>
    <w:rsid w:val="00F36D09"/>
    <w:rsid w:val="00F47F84"/>
    <w:rsid w:val="00F65D11"/>
    <w:rsid w:val="00F83746"/>
    <w:rsid w:val="00FE383A"/>
    <w:rsid w:val="00FE40D7"/>
    <w:rsid w:val="00FE51E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A6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90D"/>
    <w:rPr>
      <w:color w:val="0000FF" w:themeColor="hyperlink"/>
      <w:u w:val="single"/>
    </w:rPr>
  </w:style>
  <w:style w:type="paragraph" w:styleId="NormalWeb">
    <w:name w:val="Normal (Web)"/>
    <w:basedOn w:val="Normal"/>
    <w:uiPriority w:val="99"/>
    <w:unhideWhenUsed/>
    <w:rsid w:val="00BE3685"/>
    <w:rPr>
      <w:rFonts w:ascii="Times New Roman" w:hAnsi="Times New Roman" w:cs="Times New Roman"/>
      <w:sz w:val="24"/>
      <w:szCs w:val="24"/>
    </w:rPr>
  </w:style>
  <w:style w:type="paragraph" w:styleId="ListParagraph">
    <w:name w:val="List Paragraph"/>
    <w:basedOn w:val="Normal"/>
    <w:uiPriority w:val="34"/>
    <w:qFormat/>
    <w:rsid w:val="00C25446"/>
    <w:pPr>
      <w:ind w:left="720"/>
      <w:contextualSpacing/>
    </w:pPr>
  </w:style>
  <w:style w:type="paragraph" w:styleId="BalloonText">
    <w:name w:val="Balloon Text"/>
    <w:basedOn w:val="Normal"/>
    <w:link w:val="BalloonTextChar"/>
    <w:uiPriority w:val="99"/>
    <w:semiHidden/>
    <w:unhideWhenUsed/>
    <w:rsid w:val="00D46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74"/>
    <w:rPr>
      <w:rFonts w:ascii="Tahoma" w:hAnsi="Tahoma" w:cs="Tahoma"/>
      <w:sz w:val="16"/>
      <w:szCs w:val="16"/>
    </w:rPr>
  </w:style>
  <w:style w:type="table" w:styleId="TableGrid">
    <w:name w:val="Table Grid"/>
    <w:basedOn w:val="TableNormal"/>
    <w:uiPriority w:val="59"/>
    <w:rsid w:val="00727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5DE3"/>
    <w:pPr>
      <w:spacing w:after="0" w:line="240" w:lineRule="auto"/>
    </w:pPr>
  </w:style>
  <w:style w:type="character" w:styleId="CommentReference">
    <w:name w:val="annotation reference"/>
    <w:basedOn w:val="DefaultParagraphFont"/>
    <w:uiPriority w:val="99"/>
    <w:semiHidden/>
    <w:unhideWhenUsed/>
    <w:rsid w:val="00C75DE3"/>
    <w:rPr>
      <w:sz w:val="16"/>
      <w:szCs w:val="16"/>
    </w:rPr>
  </w:style>
  <w:style w:type="paragraph" w:styleId="CommentText">
    <w:name w:val="annotation text"/>
    <w:basedOn w:val="Normal"/>
    <w:link w:val="CommentTextChar"/>
    <w:uiPriority w:val="99"/>
    <w:semiHidden/>
    <w:unhideWhenUsed/>
    <w:rsid w:val="00C75DE3"/>
    <w:pPr>
      <w:spacing w:line="240" w:lineRule="auto"/>
    </w:pPr>
    <w:rPr>
      <w:sz w:val="20"/>
      <w:szCs w:val="20"/>
    </w:rPr>
  </w:style>
  <w:style w:type="character" w:customStyle="1" w:styleId="CommentTextChar">
    <w:name w:val="Comment Text Char"/>
    <w:basedOn w:val="DefaultParagraphFont"/>
    <w:link w:val="CommentText"/>
    <w:uiPriority w:val="99"/>
    <w:semiHidden/>
    <w:rsid w:val="00C75DE3"/>
    <w:rPr>
      <w:sz w:val="20"/>
      <w:szCs w:val="20"/>
    </w:rPr>
  </w:style>
  <w:style w:type="paragraph" w:styleId="CommentSubject">
    <w:name w:val="annotation subject"/>
    <w:basedOn w:val="CommentText"/>
    <w:next w:val="CommentText"/>
    <w:link w:val="CommentSubjectChar"/>
    <w:uiPriority w:val="99"/>
    <w:semiHidden/>
    <w:unhideWhenUsed/>
    <w:rsid w:val="00C75DE3"/>
    <w:rPr>
      <w:b/>
      <w:bCs/>
    </w:rPr>
  </w:style>
  <w:style w:type="character" w:customStyle="1" w:styleId="CommentSubjectChar">
    <w:name w:val="Comment Subject Char"/>
    <w:basedOn w:val="CommentTextChar"/>
    <w:link w:val="CommentSubject"/>
    <w:uiPriority w:val="99"/>
    <w:semiHidden/>
    <w:rsid w:val="00C75DE3"/>
    <w:rPr>
      <w:b/>
      <w:bCs/>
      <w:sz w:val="20"/>
      <w:szCs w:val="20"/>
    </w:rPr>
  </w:style>
  <w:style w:type="table" w:styleId="LightShading-Accent5">
    <w:name w:val="Light Shading Accent 5"/>
    <w:basedOn w:val="TableNormal"/>
    <w:uiPriority w:val="60"/>
    <w:rsid w:val="002A70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A0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2C"/>
  </w:style>
  <w:style w:type="paragraph" w:styleId="Footer">
    <w:name w:val="footer"/>
    <w:basedOn w:val="Normal"/>
    <w:link w:val="FooterChar"/>
    <w:uiPriority w:val="99"/>
    <w:unhideWhenUsed/>
    <w:rsid w:val="00A0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2C"/>
  </w:style>
  <w:style w:type="table" w:styleId="LightShading-Accent2">
    <w:name w:val="Light Shading Accent 2"/>
    <w:basedOn w:val="TableNormal"/>
    <w:uiPriority w:val="60"/>
    <w:rsid w:val="00062C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68530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Table3Accent1">
    <w:name w:val="List Table 3 Accent 1"/>
    <w:basedOn w:val="TableNormal"/>
    <w:uiPriority w:val="48"/>
    <w:rsid w:val="00F65D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6">
    <w:name w:val="List Table 3 Accent 6"/>
    <w:basedOn w:val="TableNormal"/>
    <w:uiPriority w:val="48"/>
    <w:rsid w:val="00E4774B"/>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3Accent2">
    <w:name w:val="List Table 3 Accent 2"/>
    <w:basedOn w:val="TableNormal"/>
    <w:uiPriority w:val="48"/>
    <w:rsid w:val="00F30C2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4Accent2">
    <w:name w:val="List Table 4 Accent 2"/>
    <w:basedOn w:val="TableNormal"/>
    <w:uiPriority w:val="49"/>
    <w:rsid w:val="006D2D3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6D2D3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1">
    <w:name w:val="List Table 4 Accent 1"/>
    <w:basedOn w:val="TableNormal"/>
    <w:uiPriority w:val="49"/>
    <w:rsid w:val="00F05A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90D"/>
    <w:rPr>
      <w:color w:val="0000FF" w:themeColor="hyperlink"/>
      <w:u w:val="single"/>
    </w:rPr>
  </w:style>
  <w:style w:type="paragraph" w:styleId="NormalWeb">
    <w:name w:val="Normal (Web)"/>
    <w:basedOn w:val="Normal"/>
    <w:uiPriority w:val="99"/>
    <w:unhideWhenUsed/>
    <w:rsid w:val="00BE3685"/>
    <w:rPr>
      <w:rFonts w:ascii="Times New Roman" w:hAnsi="Times New Roman" w:cs="Times New Roman"/>
      <w:sz w:val="24"/>
      <w:szCs w:val="24"/>
    </w:rPr>
  </w:style>
  <w:style w:type="paragraph" w:styleId="ListParagraph">
    <w:name w:val="List Paragraph"/>
    <w:basedOn w:val="Normal"/>
    <w:uiPriority w:val="34"/>
    <w:qFormat/>
    <w:rsid w:val="00C25446"/>
    <w:pPr>
      <w:ind w:left="720"/>
      <w:contextualSpacing/>
    </w:pPr>
  </w:style>
  <w:style w:type="paragraph" w:styleId="BalloonText">
    <w:name w:val="Balloon Text"/>
    <w:basedOn w:val="Normal"/>
    <w:link w:val="BalloonTextChar"/>
    <w:uiPriority w:val="99"/>
    <w:semiHidden/>
    <w:unhideWhenUsed/>
    <w:rsid w:val="00D46A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A74"/>
    <w:rPr>
      <w:rFonts w:ascii="Tahoma" w:hAnsi="Tahoma" w:cs="Tahoma"/>
      <w:sz w:val="16"/>
      <w:szCs w:val="16"/>
    </w:rPr>
  </w:style>
  <w:style w:type="table" w:styleId="TableGrid">
    <w:name w:val="Table Grid"/>
    <w:basedOn w:val="TableNormal"/>
    <w:uiPriority w:val="59"/>
    <w:rsid w:val="00727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5DE3"/>
    <w:pPr>
      <w:spacing w:after="0" w:line="240" w:lineRule="auto"/>
    </w:pPr>
  </w:style>
  <w:style w:type="character" w:styleId="CommentReference">
    <w:name w:val="annotation reference"/>
    <w:basedOn w:val="DefaultParagraphFont"/>
    <w:uiPriority w:val="99"/>
    <w:semiHidden/>
    <w:unhideWhenUsed/>
    <w:rsid w:val="00C75DE3"/>
    <w:rPr>
      <w:sz w:val="16"/>
      <w:szCs w:val="16"/>
    </w:rPr>
  </w:style>
  <w:style w:type="paragraph" w:styleId="CommentText">
    <w:name w:val="annotation text"/>
    <w:basedOn w:val="Normal"/>
    <w:link w:val="CommentTextChar"/>
    <w:uiPriority w:val="99"/>
    <w:semiHidden/>
    <w:unhideWhenUsed/>
    <w:rsid w:val="00C75DE3"/>
    <w:pPr>
      <w:spacing w:line="240" w:lineRule="auto"/>
    </w:pPr>
    <w:rPr>
      <w:sz w:val="20"/>
      <w:szCs w:val="20"/>
    </w:rPr>
  </w:style>
  <w:style w:type="character" w:customStyle="1" w:styleId="CommentTextChar">
    <w:name w:val="Comment Text Char"/>
    <w:basedOn w:val="DefaultParagraphFont"/>
    <w:link w:val="CommentText"/>
    <w:uiPriority w:val="99"/>
    <w:semiHidden/>
    <w:rsid w:val="00C75DE3"/>
    <w:rPr>
      <w:sz w:val="20"/>
      <w:szCs w:val="20"/>
    </w:rPr>
  </w:style>
  <w:style w:type="paragraph" w:styleId="CommentSubject">
    <w:name w:val="annotation subject"/>
    <w:basedOn w:val="CommentText"/>
    <w:next w:val="CommentText"/>
    <w:link w:val="CommentSubjectChar"/>
    <w:uiPriority w:val="99"/>
    <w:semiHidden/>
    <w:unhideWhenUsed/>
    <w:rsid w:val="00C75DE3"/>
    <w:rPr>
      <w:b/>
      <w:bCs/>
    </w:rPr>
  </w:style>
  <w:style w:type="character" w:customStyle="1" w:styleId="CommentSubjectChar">
    <w:name w:val="Comment Subject Char"/>
    <w:basedOn w:val="CommentTextChar"/>
    <w:link w:val="CommentSubject"/>
    <w:uiPriority w:val="99"/>
    <w:semiHidden/>
    <w:rsid w:val="00C75DE3"/>
    <w:rPr>
      <w:b/>
      <w:bCs/>
      <w:sz w:val="20"/>
      <w:szCs w:val="20"/>
    </w:rPr>
  </w:style>
  <w:style w:type="table" w:styleId="LightShading-Accent5">
    <w:name w:val="Light Shading Accent 5"/>
    <w:basedOn w:val="TableNormal"/>
    <w:uiPriority w:val="60"/>
    <w:rsid w:val="002A706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unhideWhenUsed/>
    <w:rsid w:val="00A03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B2C"/>
  </w:style>
  <w:style w:type="paragraph" w:styleId="Footer">
    <w:name w:val="footer"/>
    <w:basedOn w:val="Normal"/>
    <w:link w:val="FooterChar"/>
    <w:uiPriority w:val="99"/>
    <w:unhideWhenUsed/>
    <w:rsid w:val="00A03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B2C"/>
  </w:style>
  <w:style w:type="table" w:styleId="LightShading-Accent2">
    <w:name w:val="Light Shading Accent 2"/>
    <w:basedOn w:val="TableNormal"/>
    <w:uiPriority w:val="60"/>
    <w:rsid w:val="00062C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List-Accent2">
    <w:name w:val="Light List Accent 2"/>
    <w:basedOn w:val="TableNormal"/>
    <w:uiPriority w:val="61"/>
    <w:rsid w:val="0068530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Table3Accent1">
    <w:name w:val="List Table 3 Accent 1"/>
    <w:basedOn w:val="TableNormal"/>
    <w:uiPriority w:val="48"/>
    <w:rsid w:val="00F65D11"/>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6">
    <w:name w:val="List Table 3 Accent 6"/>
    <w:basedOn w:val="TableNormal"/>
    <w:uiPriority w:val="48"/>
    <w:rsid w:val="00E4774B"/>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3Accent2">
    <w:name w:val="List Table 3 Accent 2"/>
    <w:basedOn w:val="TableNormal"/>
    <w:uiPriority w:val="48"/>
    <w:rsid w:val="00F30C2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4Accent2">
    <w:name w:val="List Table 4 Accent 2"/>
    <w:basedOn w:val="TableNormal"/>
    <w:uiPriority w:val="49"/>
    <w:rsid w:val="006D2D3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6D2D3E"/>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1">
    <w:name w:val="List Table 4 Accent 1"/>
    <w:basedOn w:val="TableNormal"/>
    <w:uiPriority w:val="49"/>
    <w:rsid w:val="00F05AB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3967">
      <w:bodyDiv w:val="1"/>
      <w:marLeft w:val="0"/>
      <w:marRight w:val="0"/>
      <w:marTop w:val="0"/>
      <w:marBottom w:val="2760"/>
      <w:divBdr>
        <w:top w:val="none" w:sz="0" w:space="0" w:color="auto"/>
        <w:left w:val="none" w:sz="0" w:space="0" w:color="auto"/>
        <w:bottom w:val="none" w:sz="0" w:space="0" w:color="auto"/>
        <w:right w:val="none" w:sz="0" w:space="0" w:color="auto"/>
      </w:divBdr>
      <w:divsChild>
        <w:div w:id="98377917">
          <w:marLeft w:val="0"/>
          <w:marRight w:val="0"/>
          <w:marTop w:val="0"/>
          <w:marBottom w:val="0"/>
          <w:divBdr>
            <w:top w:val="none" w:sz="0" w:space="0" w:color="auto"/>
            <w:left w:val="none" w:sz="0" w:space="0" w:color="auto"/>
            <w:bottom w:val="none" w:sz="0" w:space="0" w:color="auto"/>
            <w:right w:val="none" w:sz="0" w:space="0" w:color="auto"/>
          </w:divBdr>
          <w:divsChild>
            <w:div w:id="1330716507">
              <w:marLeft w:val="0"/>
              <w:marRight w:val="0"/>
              <w:marTop w:val="0"/>
              <w:marBottom w:val="0"/>
              <w:divBdr>
                <w:top w:val="none" w:sz="0" w:space="0" w:color="auto"/>
                <w:left w:val="none" w:sz="0" w:space="0" w:color="auto"/>
                <w:bottom w:val="none" w:sz="0" w:space="0" w:color="auto"/>
                <w:right w:val="none" w:sz="0" w:space="0" w:color="auto"/>
              </w:divBdr>
              <w:divsChild>
                <w:div w:id="107312055">
                  <w:marLeft w:val="0"/>
                  <w:marRight w:val="0"/>
                  <w:marTop w:val="0"/>
                  <w:marBottom w:val="0"/>
                  <w:divBdr>
                    <w:top w:val="none" w:sz="0" w:space="0" w:color="auto"/>
                    <w:left w:val="none" w:sz="0" w:space="0" w:color="auto"/>
                    <w:bottom w:val="none" w:sz="0" w:space="0" w:color="auto"/>
                    <w:right w:val="none" w:sz="0" w:space="0" w:color="auto"/>
                  </w:divBdr>
                  <w:divsChild>
                    <w:div w:id="336806657">
                      <w:marLeft w:val="0"/>
                      <w:marRight w:val="0"/>
                      <w:marTop w:val="0"/>
                      <w:marBottom w:val="0"/>
                      <w:divBdr>
                        <w:top w:val="none" w:sz="0" w:space="0" w:color="auto"/>
                        <w:left w:val="none" w:sz="0" w:space="0" w:color="auto"/>
                        <w:bottom w:val="none" w:sz="0" w:space="0" w:color="auto"/>
                        <w:right w:val="none" w:sz="0" w:space="0" w:color="auto"/>
                      </w:divBdr>
                      <w:divsChild>
                        <w:div w:id="1860125571">
                          <w:marLeft w:val="0"/>
                          <w:marRight w:val="0"/>
                          <w:marTop w:val="0"/>
                          <w:marBottom w:val="0"/>
                          <w:divBdr>
                            <w:top w:val="none" w:sz="0" w:space="0" w:color="auto"/>
                            <w:left w:val="none" w:sz="0" w:space="0" w:color="auto"/>
                            <w:bottom w:val="none" w:sz="0" w:space="0" w:color="auto"/>
                            <w:right w:val="none" w:sz="0" w:space="0" w:color="auto"/>
                          </w:divBdr>
                          <w:divsChild>
                            <w:div w:id="1700616882">
                              <w:marLeft w:val="0"/>
                              <w:marRight w:val="0"/>
                              <w:marTop w:val="0"/>
                              <w:marBottom w:val="0"/>
                              <w:divBdr>
                                <w:top w:val="none" w:sz="0" w:space="0" w:color="auto"/>
                                <w:left w:val="none" w:sz="0" w:space="0" w:color="auto"/>
                                <w:bottom w:val="none" w:sz="0" w:space="0" w:color="auto"/>
                                <w:right w:val="none" w:sz="0" w:space="0" w:color="auto"/>
                              </w:divBdr>
                              <w:divsChild>
                                <w:div w:id="2099010832">
                                  <w:marLeft w:val="0"/>
                                  <w:marRight w:val="0"/>
                                  <w:marTop w:val="0"/>
                                  <w:marBottom w:val="0"/>
                                  <w:divBdr>
                                    <w:top w:val="none" w:sz="0" w:space="0" w:color="auto"/>
                                    <w:left w:val="none" w:sz="0" w:space="0" w:color="auto"/>
                                    <w:bottom w:val="none" w:sz="0" w:space="0" w:color="auto"/>
                                    <w:right w:val="none" w:sz="0" w:space="0" w:color="auto"/>
                                  </w:divBdr>
                                  <w:divsChild>
                                    <w:div w:id="83456878">
                                      <w:marLeft w:val="0"/>
                                      <w:marRight w:val="0"/>
                                      <w:marTop w:val="0"/>
                                      <w:marBottom w:val="0"/>
                                      <w:divBdr>
                                        <w:top w:val="none" w:sz="0" w:space="0" w:color="auto"/>
                                        <w:left w:val="none" w:sz="0" w:space="0" w:color="auto"/>
                                        <w:bottom w:val="none" w:sz="0" w:space="0" w:color="auto"/>
                                        <w:right w:val="none" w:sz="0" w:space="0" w:color="auto"/>
                                      </w:divBdr>
                                      <w:divsChild>
                                        <w:div w:id="2132818378">
                                          <w:marLeft w:val="0"/>
                                          <w:marRight w:val="0"/>
                                          <w:marTop w:val="0"/>
                                          <w:marBottom w:val="0"/>
                                          <w:divBdr>
                                            <w:top w:val="none" w:sz="0" w:space="0" w:color="auto"/>
                                            <w:left w:val="none" w:sz="0" w:space="0" w:color="auto"/>
                                            <w:bottom w:val="none" w:sz="0" w:space="0" w:color="auto"/>
                                            <w:right w:val="none" w:sz="0" w:space="0" w:color="auto"/>
                                          </w:divBdr>
                                          <w:divsChild>
                                            <w:div w:id="17777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102917">
      <w:bodyDiv w:val="1"/>
      <w:marLeft w:val="0"/>
      <w:marRight w:val="0"/>
      <w:marTop w:val="0"/>
      <w:marBottom w:val="0"/>
      <w:divBdr>
        <w:top w:val="none" w:sz="0" w:space="0" w:color="auto"/>
        <w:left w:val="none" w:sz="0" w:space="0" w:color="auto"/>
        <w:bottom w:val="none" w:sz="0" w:space="0" w:color="auto"/>
        <w:right w:val="none" w:sz="0" w:space="0" w:color="auto"/>
      </w:divBdr>
    </w:div>
    <w:div w:id="296499247">
      <w:bodyDiv w:val="1"/>
      <w:marLeft w:val="0"/>
      <w:marRight w:val="0"/>
      <w:marTop w:val="0"/>
      <w:marBottom w:val="0"/>
      <w:divBdr>
        <w:top w:val="none" w:sz="0" w:space="0" w:color="auto"/>
        <w:left w:val="none" w:sz="0" w:space="0" w:color="auto"/>
        <w:bottom w:val="none" w:sz="0" w:space="0" w:color="auto"/>
        <w:right w:val="none" w:sz="0" w:space="0" w:color="auto"/>
      </w:divBdr>
      <w:divsChild>
        <w:div w:id="1801073658">
          <w:marLeft w:val="0"/>
          <w:marRight w:val="0"/>
          <w:marTop w:val="0"/>
          <w:marBottom w:val="0"/>
          <w:divBdr>
            <w:top w:val="none" w:sz="0" w:space="0" w:color="auto"/>
            <w:left w:val="none" w:sz="0" w:space="0" w:color="auto"/>
            <w:bottom w:val="none" w:sz="0" w:space="0" w:color="auto"/>
            <w:right w:val="none" w:sz="0" w:space="0" w:color="auto"/>
          </w:divBdr>
          <w:divsChild>
            <w:div w:id="2120247987">
              <w:marLeft w:val="0"/>
              <w:marRight w:val="0"/>
              <w:marTop w:val="0"/>
              <w:marBottom w:val="0"/>
              <w:divBdr>
                <w:top w:val="none" w:sz="0" w:space="0" w:color="auto"/>
                <w:left w:val="none" w:sz="0" w:space="0" w:color="auto"/>
                <w:bottom w:val="none" w:sz="0" w:space="0" w:color="auto"/>
                <w:right w:val="none" w:sz="0" w:space="0" w:color="auto"/>
              </w:divBdr>
              <w:divsChild>
                <w:div w:id="262616768">
                  <w:marLeft w:val="0"/>
                  <w:marRight w:val="0"/>
                  <w:marTop w:val="0"/>
                  <w:marBottom w:val="0"/>
                  <w:divBdr>
                    <w:top w:val="none" w:sz="0" w:space="0" w:color="auto"/>
                    <w:left w:val="none" w:sz="0" w:space="0" w:color="auto"/>
                    <w:bottom w:val="none" w:sz="0" w:space="0" w:color="auto"/>
                    <w:right w:val="none" w:sz="0" w:space="0" w:color="auto"/>
                  </w:divBdr>
                  <w:divsChild>
                    <w:div w:id="332756764">
                      <w:marLeft w:val="0"/>
                      <w:marRight w:val="0"/>
                      <w:marTop w:val="0"/>
                      <w:marBottom w:val="0"/>
                      <w:divBdr>
                        <w:top w:val="none" w:sz="0" w:space="0" w:color="auto"/>
                        <w:left w:val="none" w:sz="0" w:space="0" w:color="auto"/>
                        <w:bottom w:val="none" w:sz="0" w:space="0" w:color="auto"/>
                        <w:right w:val="none" w:sz="0" w:space="0" w:color="auto"/>
                      </w:divBdr>
                      <w:divsChild>
                        <w:div w:id="17953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071461">
      <w:bodyDiv w:val="1"/>
      <w:marLeft w:val="0"/>
      <w:marRight w:val="0"/>
      <w:marTop w:val="0"/>
      <w:marBottom w:val="2760"/>
      <w:divBdr>
        <w:top w:val="none" w:sz="0" w:space="0" w:color="auto"/>
        <w:left w:val="none" w:sz="0" w:space="0" w:color="auto"/>
        <w:bottom w:val="none" w:sz="0" w:space="0" w:color="auto"/>
        <w:right w:val="none" w:sz="0" w:space="0" w:color="auto"/>
      </w:divBdr>
      <w:divsChild>
        <w:div w:id="250431490">
          <w:marLeft w:val="0"/>
          <w:marRight w:val="0"/>
          <w:marTop w:val="0"/>
          <w:marBottom w:val="0"/>
          <w:divBdr>
            <w:top w:val="none" w:sz="0" w:space="0" w:color="auto"/>
            <w:left w:val="none" w:sz="0" w:space="0" w:color="auto"/>
            <w:bottom w:val="none" w:sz="0" w:space="0" w:color="auto"/>
            <w:right w:val="none" w:sz="0" w:space="0" w:color="auto"/>
          </w:divBdr>
          <w:divsChild>
            <w:div w:id="1346437430">
              <w:marLeft w:val="0"/>
              <w:marRight w:val="0"/>
              <w:marTop w:val="0"/>
              <w:marBottom w:val="0"/>
              <w:divBdr>
                <w:top w:val="none" w:sz="0" w:space="0" w:color="auto"/>
                <w:left w:val="none" w:sz="0" w:space="0" w:color="auto"/>
                <w:bottom w:val="none" w:sz="0" w:space="0" w:color="auto"/>
                <w:right w:val="none" w:sz="0" w:space="0" w:color="auto"/>
              </w:divBdr>
              <w:divsChild>
                <w:div w:id="71397049">
                  <w:marLeft w:val="0"/>
                  <w:marRight w:val="0"/>
                  <w:marTop w:val="0"/>
                  <w:marBottom w:val="0"/>
                  <w:divBdr>
                    <w:top w:val="none" w:sz="0" w:space="0" w:color="auto"/>
                    <w:left w:val="none" w:sz="0" w:space="0" w:color="auto"/>
                    <w:bottom w:val="none" w:sz="0" w:space="0" w:color="auto"/>
                    <w:right w:val="none" w:sz="0" w:space="0" w:color="auto"/>
                  </w:divBdr>
                  <w:divsChild>
                    <w:div w:id="869681047">
                      <w:marLeft w:val="0"/>
                      <w:marRight w:val="0"/>
                      <w:marTop w:val="0"/>
                      <w:marBottom w:val="0"/>
                      <w:divBdr>
                        <w:top w:val="none" w:sz="0" w:space="0" w:color="auto"/>
                        <w:left w:val="none" w:sz="0" w:space="0" w:color="auto"/>
                        <w:bottom w:val="none" w:sz="0" w:space="0" w:color="auto"/>
                        <w:right w:val="none" w:sz="0" w:space="0" w:color="auto"/>
                      </w:divBdr>
                      <w:divsChild>
                        <w:div w:id="1198548180">
                          <w:marLeft w:val="0"/>
                          <w:marRight w:val="0"/>
                          <w:marTop w:val="0"/>
                          <w:marBottom w:val="0"/>
                          <w:divBdr>
                            <w:top w:val="none" w:sz="0" w:space="0" w:color="auto"/>
                            <w:left w:val="none" w:sz="0" w:space="0" w:color="auto"/>
                            <w:bottom w:val="none" w:sz="0" w:space="0" w:color="auto"/>
                            <w:right w:val="none" w:sz="0" w:space="0" w:color="auto"/>
                          </w:divBdr>
                          <w:divsChild>
                            <w:div w:id="1108311364">
                              <w:marLeft w:val="0"/>
                              <w:marRight w:val="0"/>
                              <w:marTop w:val="0"/>
                              <w:marBottom w:val="0"/>
                              <w:divBdr>
                                <w:top w:val="none" w:sz="0" w:space="0" w:color="auto"/>
                                <w:left w:val="none" w:sz="0" w:space="0" w:color="auto"/>
                                <w:bottom w:val="none" w:sz="0" w:space="0" w:color="auto"/>
                                <w:right w:val="none" w:sz="0" w:space="0" w:color="auto"/>
                              </w:divBdr>
                              <w:divsChild>
                                <w:div w:id="430005136">
                                  <w:marLeft w:val="0"/>
                                  <w:marRight w:val="0"/>
                                  <w:marTop w:val="0"/>
                                  <w:marBottom w:val="0"/>
                                  <w:divBdr>
                                    <w:top w:val="none" w:sz="0" w:space="0" w:color="auto"/>
                                    <w:left w:val="none" w:sz="0" w:space="0" w:color="auto"/>
                                    <w:bottom w:val="none" w:sz="0" w:space="0" w:color="auto"/>
                                    <w:right w:val="none" w:sz="0" w:space="0" w:color="auto"/>
                                  </w:divBdr>
                                  <w:divsChild>
                                    <w:div w:id="1118912267">
                                      <w:marLeft w:val="0"/>
                                      <w:marRight w:val="0"/>
                                      <w:marTop w:val="0"/>
                                      <w:marBottom w:val="0"/>
                                      <w:divBdr>
                                        <w:top w:val="none" w:sz="0" w:space="0" w:color="auto"/>
                                        <w:left w:val="none" w:sz="0" w:space="0" w:color="auto"/>
                                        <w:bottom w:val="none" w:sz="0" w:space="0" w:color="auto"/>
                                        <w:right w:val="none" w:sz="0" w:space="0" w:color="auto"/>
                                      </w:divBdr>
                                      <w:divsChild>
                                        <w:div w:id="2112045052">
                                          <w:marLeft w:val="0"/>
                                          <w:marRight w:val="0"/>
                                          <w:marTop w:val="0"/>
                                          <w:marBottom w:val="0"/>
                                          <w:divBdr>
                                            <w:top w:val="none" w:sz="0" w:space="0" w:color="auto"/>
                                            <w:left w:val="none" w:sz="0" w:space="0" w:color="auto"/>
                                            <w:bottom w:val="none" w:sz="0" w:space="0" w:color="auto"/>
                                            <w:right w:val="none" w:sz="0" w:space="0" w:color="auto"/>
                                          </w:divBdr>
                                          <w:divsChild>
                                            <w:div w:id="19066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552230">
      <w:bodyDiv w:val="1"/>
      <w:marLeft w:val="0"/>
      <w:marRight w:val="0"/>
      <w:marTop w:val="0"/>
      <w:marBottom w:val="0"/>
      <w:divBdr>
        <w:top w:val="none" w:sz="0" w:space="0" w:color="auto"/>
        <w:left w:val="none" w:sz="0" w:space="0" w:color="auto"/>
        <w:bottom w:val="none" w:sz="0" w:space="0" w:color="auto"/>
        <w:right w:val="none" w:sz="0" w:space="0" w:color="auto"/>
      </w:divBdr>
    </w:div>
    <w:div w:id="522743957">
      <w:bodyDiv w:val="1"/>
      <w:marLeft w:val="0"/>
      <w:marRight w:val="0"/>
      <w:marTop w:val="0"/>
      <w:marBottom w:val="0"/>
      <w:divBdr>
        <w:top w:val="none" w:sz="0" w:space="0" w:color="auto"/>
        <w:left w:val="none" w:sz="0" w:space="0" w:color="auto"/>
        <w:bottom w:val="none" w:sz="0" w:space="0" w:color="auto"/>
        <w:right w:val="none" w:sz="0" w:space="0" w:color="auto"/>
      </w:divBdr>
    </w:div>
    <w:div w:id="1186481126">
      <w:bodyDiv w:val="1"/>
      <w:marLeft w:val="0"/>
      <w:marRight w:val="0"/>
      <w:marTop w:val="0"/>
      <w:marBottom w:val="0"/>
      <w:divBdr>
        <w:top w:val="none" w:sz="0" w:space="0" w:color="auto"/>
        <w:left w:val="none" w:sz="0" w:space="0" w:color="auto"/>
        <w:bottom w:val="none" w:sz="0" w:space="0" w:color="auto"/>
        <w:right w:val="none" w:sz="0" w:space="0" w:color="auto"/>
      </w:divBdr>
    </w:div>
    <w:div w:id="1303458515">
      <w:bodyDiv w:val="1"/>
      <w:marLeft w:val="0"/>
      <w:marRight w:val="0"/>
      <w:marTop w:val="0"/>
      <w:marBottom w:val="0"/>
      <w:divBdr>
        <w:top w:val="none" w:sz="0" w:space="0" w:color="auto"/>
        <w:left w:val="none" w:sz="0" w:space="0" w:color="auto"/>
        <w:bottom w:val="none" w:sz="0" w:space="0" w:color="auto"/>
        <w:right w:val="none" w:sz="0" w:space="0" w:color="auto"/>
      </w:divBdr>
    </w:div>
    <w:div w:id="21012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B43E8212174540A7D51CBD60F6154C" ma:contentTypeVersion="0" ma:contentTypeDescription="Create a new document." ma:contentTypeScope="" ma:versionID="819dba050062f751034e4eeaeb438b72">
  <xsd:schema xmlns:xsd="http://www.w3.org/2001/XMLSchema" xmlns:xs="http://www.w3.org/2001/XMLSchema" xmlns:p="http://schemas.microsoft.com/office/2006/metadata/properties" targetNamespace="http://schemas.microsoft.com/office/2006/metadata/properties" ma:root="true" ma:fieldsID="9075e0ee65278332517fd655d10e8f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073D2-4B7E-4DDE-A5C4-9404F7999E03}">
  <ds:schemaRefs>
    <ds:schemaRef ds:uri="http://schemas.microsoft.com/sharepoint/v3/contenttype/forms"/>
  </ds:schemaRefs>
</ds:datastoreItem>
</file>

<file path=customXml/itemProps2.xml><?xml version="1.0" encoding="utf-8"?>
<ds:datastoreItem xmlns:ds="http://schemas.openxmlformats.org/officeDocument/2006/customXml" ds:itemID="{5E22BF32-6955-4454-BCF5-EFEA05F7D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8968F8E-222C-47BE-9135-D68ECC4F06EA}">
  <ds:schemaRefs>
    <ds:schemaRef ds:uri="http://schemas.microsoft.com/office/2006/metadata/propertie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FEEF8789-F091-4805-AA2A-66E9E32B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Normanda</dc:creator>
  <cp:lastModifiedBy>Salvatore</cp:lastModifiedBy>
  <cp:revision>7</cp:revision>
  <cp:lastPrinted>2013-12-02T16:42:00Z</cp:lastPrinted>
  <dcterms:created xsi:type="dcterms:W3CDTF">2016-03-15T16:58:00Z</dcterms:created>
  <dcterms:modified xsi:type="dcterms:W3CDTF">2017-01-09T10:51:00Z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0x010100FDB43E8212174540A7D51CBD60F6154C</vt:lpwstr>
  </property>
  <property fmtid="{D5CDD505-2E9C-101B-9397-08002B2CF9AE}" pid="3" name="IsMyDocuments">
    <vt:bool>true</vt:bool>
  </property>
</Properties>
</file>